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4073" w14:textId="77777777" w:rsidR="0011064F" w:rsidRPr="00F743C7" w:rsidRDefault="0011064F" w:rsidP="0011064F">
      <w:pPr>
        <w:tabs>
          <w:tab w:val="left" w:pos="567"/>
        </w:tabs>
        <w:spacing w:after="0" w:line="240" w:lineRule="auto"/>
        <w:rPr>
          <w:rFonts w:ascii="Bookman Old Style" w:hAnsi="Bookman Old Style" w:cs="Times New Roman"/>
          <w:sz w:val="28"/>
          <w:szCs w:val="28"/>
          <w:lang w:val="el-GR"/>
        </w:rPr>
      </w:pPr>
      <w:r w:rsidRPr="00F743C7">
        <w:rPr>
          <w:rFonts w:ascii="Bookman Old Style" w:hAnsi="Bookman Old Style" w:cs="Times New Roman"/>
          <w:sz w:val="28"/>
          <w:szCs w:val="28"/>
          <w:lang w:val="el-GR"/>
        </w:rPr>
        <w:t>ΑΝΩΤΑΤΟ ΔΙΚΑΣΤΗΡΙΟ ΚΥΠΡΟΥ</w:t>
      </w:r>
    </w:p>
    <w:p w14:paraId="41037AB5" w14:textId="77777777" w:rsidR="0011064F" w:rsidRPr="00F743C7" w:rsidRDefault="0011064F" w:rsidP="0011064F">
      <w:pPr>
        <w:spacing w:after="0" w:line="240" w:lineRule="auto"/>
        <w:rPr>
          <w:rFonts w:ascii="Bookman Old Style" w:hAnsi="Bookman Old Style" w:cs="Times New Roman"/>
          <w:sz w:val="28"/>
          <w:szCs w:val="28"/>
          <w:lang w:val="el-GR"/>
        </w:rPr>
      </w:pPr>
      <w:r w:rsidRPr="00F743C7">
        <w:rPr>
          <w:rFonts w:ascii="Bookman Old Style" w:hAnsi="Bookman Old Style" w:cs="Times New Roman"/>
          <w:sz w:val="28"/>
          <w:szCs w:val="28"/>
          <w:lang w:val="el-GR"/>
        </w:rPr>
        <w:t>ΔΕΥΤΕΡΟΒΑΘΜΙΑ ΔΙΚΑΙΟΔΟΣΙΑ</w:t>
      </w:r>
    </w:p>
    <w:p w14:paraId="3D874034" w14:textId="7E942DA6" w:rsidR="0011064F" w:rsidRPr="00F743C7" w:rsidRDefault="0011064F" w:rsidP="0011064F">
      <w:pPr>
        <w:spacing w:line="276" w:lineRule="auto"/>
        <w:jc w:val="right"/>
        <w:rPr>
          <w:rFonts w:ascii="Bookman Old Style" w:hAnsi="Bookman Old Style" w:cs="Times New Roman"/>
          <w:sz w:val="28"/>
          <w:szCs w:val="28"/>
          <w:lang w:val="el-GR"/>
        </w:rPr>
      </w:pPr>
      <w:r w:rsidRPr="00F743C7">
        <w:rPr>
          <w:rFonts w:ascii="Bookman Old Style" w:hAnsi="Bookman Old Style" w:cs="Times New Roman"/>
          <w:sz w:val="28"/>
          <w:szCs w:val="28"/>
          <w:lang w:val="el-GR"/>
        </w:rPr>
        <w:tab/>
      </w:r>
    </w:p>
    <w:p w14:paraId="08B6EB8D" w14:textId="19C6BF1B" w:rsidR="0011064F" w:rsidRPr="00F743C7" w:rsidRDefault="0011064F" w:rsidP="0011064F">
      <w:pPr>
        <w:spacing w:line="276" w:lineRule="auto"/>
        <w:jc w:val="right"/>
        <w:rPr>
          <w:rFonts w:ascii="Bookman Old Style" w:hAnsi="Bookman Old Style" w:cs="Times New Roman"/>
          <w:i/>
          <w:sz w:val="28"/>
          <w:szCs w:val="28"/>
          <w:lang w:val="el-GR"/>
        </w:rPr>
      </w:pPr>
      <w:r w:rsidRPr="00F743C7">
        <w:rPr>
          <w:rFonts w:ascii="Bookman Old Style" w:hAnsi="Bookman Old Style" w:cs="Times New Roman"/>
          <w:sz w:val="28"/>
          <w:szCs w:val="28"/>
          <w:lang w:val="el-GR"/>
        </w:rPr>
        <w:t>(</w:t>
      </w:r>
      <w:r w:rsidRPr="00F743C7">
        <w:rPr>
          <w:rFonts w:ascii="Bookman Old Style" w:hAnsi="Bookman Old Style" w:cs="Times New Roman"/>
          <w:i/>
          <w:sz w:val="28"/>
          <w:szCs w:val="28"/>
          <w:lang w:val="el-GR"/>
        </w:rPr>
        <w:t xml:space="preserve">Πολιτική Έφεση Αρ. </w:t>
      </w:r>
      <w:r w:rsidRPr="0019785D">
        <w:rPr>
          <w:rFonts w:ascii="Bookman Old Style" w:hAnsi="Bookman Old Style" w:cs="Times New Roman"/>
          <w:i/>
          <w:sz w:val="28"/>
          <w:szCs w:val="28"/>
        </w:rPr>
        <w:t>E</w:t>
      </w:r>
      <w:r>
        <w:rPr>
          <w:rFonts w:ascii="Bookman Old Style" w:hAnsi="Bookman Old Style" w:cs="Times New Roman"/>
          <w:i/>
          <w:sz w:val="28"/>
          <w:szCs w:val="28"/>
          <w:lang w:val="el-GR"/>
        </w:rPr>
        <w:t>86/</w:t>
      </w:r>
      <w:r w:rsidRPr="00F743C7">
        <w:rPr>
          <w:rFonts w:ascii="Bookman Old Style" w:hAnsi="Bookman Old Style" w:cs="Times New Roman"/>
          <w:i/>
          <w:sz w:val="28"/>
          <w:szCs w:val="28"/>
          <w:lang w:val="el-GR"/>
        </w:rPr>
        <w:t>201</w:t>
      </w:r>
      <w:r>
        <w:rPr>
          <w:rFonts w:ascii="Bookman Old Style" w:hAnsi="Bookman Old Style" w:cs="Times New Roman"/>
          <w:i/>
          <w:sz w:val="28"/>
          <w:szCs w:val="28"/>
          <w:lang w:val="el-GR"/>
        </w:rPr>
        <w:t>7</w:t>
      </w:r>
      <w:r w:rsidRPr="00F743C7">
        <w:rPr>
          <w:rFonts w:ascii="Bookman Old Style" w:hAnsi="Bookman Old Style" w:cs="Times New Roman"/>
          <w:iCs/>
          <w:sz w:val="28"/>
          <w:szCs w:val="28"/>
          <w:lang w:val="el-GR"/>
        </w:rPr>
        <w:t>)</w:t>
      </w:r>
    </w:p>
    <w:p w14:paraId="6C773FD6" w14:textId="77777777" w:rsidR="0011064F" w:rsidRPr="00F743C7" w:rsidRDefault="0011064F" w:rsidP="0011064F">
      <w:pPr>
        <w:jc w:val="center"/>
        <w:rPr>
          <w:rFonts w:ascii="Bookman Old Style" w:hAnsi="Bookman Old Style" w:cs="Times New Roman"/>
          <w:sz w:val="28"/>
          <w:szCs w:val="28"/>
          <w:lang w:val="el-GR"/>
        </w:rPr>
      </w:pPr>
    </w:p>
    <w:p w14:paraId="35D8D6C0" w14:textId="4CAA11E8" w:rsidR="0011064F" w:rsidRPr="00F743C7" w:rsidRDefault="002F2F37" w:rsidP="0011064F">
      <w:pPr>
        <w:jc w:val="center"/>
        <w:rPr>
          <w:rFonts w:ascii="Bookman Old Style" w:hAnsi="Bookman Old Style" w:cs="Times New Roman"/>
          <w:sz w:val="28"/>
          <w:szCs w:val="28"/>
          <w:lang w:val="el-GR"/>
        </w:rPr>
      </w:pPr>
      <w:r>
        <w:rPr>
          <w:rFonts w:ascii="Bookman Old Style" w:hAnsi="Bookman Old Style" w:cs="Times New Roman"/>
          <w:sz w:val="28"/>
          <w:szCs w:val="28"/>
          <w:lang w:val="el-GR"/>
        </w:rPr>
        <w:t>8</w:t>
      </w:r>
      <w:r w:rsidR="00802BE6">
        <w:rPr>
          <w:rFonts w:ascii="Bookman Old Style" w:hAnsi="Bookman Old Style" w:cs="Times New Roman"/>
          <w:sz w:val="28"/>
          <w:szCs w:val="28"/>
          <w:lang w:val="el-GR"/>
        </w:rPr>
        <w:t xml:space="preserve"> </w:t>
      </w:r>
      <w:r w:rsidR="0011064F">
        <w:rPr>
          <w:rFonts w:ascii="Bookman Old Style" w:hAnsi="Bookman Old Style" w:cs="Times New Roman"/>
          <w:sz w:val="28"/>
          <w:szCs w:val="28"/>
          <w:lang w:val="el-GR"/>
        </w:rPr>
        <w:t>Νοεμβρίου</w:t>
      </w:r>
      <w:r w:rsidR="0011064F" w:rsidRPr="00F743C7">
        <w:rPr>
          <w:rFonts w:ascii="Bookman Old Style" w:hAnsi="Bookman Old Style" w:cs="Times New Roman"/>
          <w:sz w:val="28"/>
          <w:szCs w:val="28"/>
          <w:lang w:val="el-GR"/>
        </w:rPr>
        <w:t>, 2023</w:t>
      </w:r>
    </w:p>
    <w:p w14:paraId="5AB34DB4" w14:textId="77777777" w:rsidR="0011064F" w:rsidRPr="00F743C7" w:rsidRDefault="0011064F" w:rsidP="0011064F">
      <w:pPr>
        <w:jc w:val="center"/>
        <w:rPr>
          <w:rFonts w:ascii="Bookman Old Style" w:hAnsi="Bookman Old Style" w:cs="Times New Roman"/>
          <w:sz w:val="28"/>
          <w:szCs w:val="28"/>
          <w:lang w:val="el-GR"/>
        </w:rPr>
      </w:pPr>
    </w:p>
    <w:p w14:paraId="2BB8D6F2" w14:textId="77777777" w:rsidR="0011064F" w:rsidRPr="00F743C7" w:rsidRDefault="0011064F" w:rsidP="0011064F">
      <w:pPr>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[ΜΑΛΑΧΤΟΣ, ΙΩΑΝΝΙΔΗΣ, ΕΦΡΑΙΜ, Δ/στές]</w:t>
      </w:r>
    </w:p>
    <w:p w14:paraId="6D1AD29C" w14:textId="77777777" w:rsidR="0011064F" w:rsidRPr="00F743C7" w:rsidRDefault="0011064F" w:rsidP="0011064F">
      <w:pPr>
        <w:rPr>
          <w:rFonts w:ascii="Bookman Old Style" w:hAnsi="Bookman Old Style" w:cs="Times New Roman"/>
          <w:sz w:val="28"/>
          <w:szCs w:val="28"/>
          <w:lang w:val="el-GR"/>
        </w:rPr>
      </w:pPr>
    </w:p>
    <w:p w14:paraId="5EF50702" w14:textId="77777777" w:rsidR="0011064F" w:rsidRPr="00E33F9D" w:rsidRDefault="0011064F" w:rsidP="0011064F">
      <w:pPr>
        <w:tabs>
          <w:tab w:val="left" w:pos="3544"/>
        </w:tabs>
        <w:jc w:val="center"/>
        <w:rPr>
          <w:rFonts w:ascii="Bookman Old Style" w:hAnsi="Bookman Old Style" w:cs="Times New Roman"/>
          <w:sz w:val="28"/>
          <w:szCs w:val="28"/>
          <w:lang w:val="fr-FR"/>
        </w:rPr>
      </w:pPr>
      <w:r w:rsidRPr="00E33F9D">
        <w:rPr>
          <w:rFonts w:ascii="Bookman Old Style" w:hAnsi="Bookman Old Style" w:cs="Times New Roman"/>
          <w:sz w:val="28"/>
          <w:szCs w:val="28"/>
          <w:lang w:val="fr-FR"/>
        </w:rPr>
        <w:t>PHARMACARE (EUROPE) LTD</w:t>
      </w:r>
    </w:p>
    <w:p w14:paraId="00991DC1" w14:textId="77777777" w:rsidR="0011064F" w:rsidRPr="00E33F9D" w:rsidRDefault="0011064F" w:rsidP="0011064F">
      <w:pPr>
        <w:tabs>
          <w:tab w:val="left" w:pos="1985"/>
          <w:tab w:val="left" w:pos="5670"/>
        </w:tabs>
        <w:ind w:left="2694" w:hanging="426"/>
        <w:rPr>
          <w:rFonts w:ascii="Bookman Old Style" w:hAnsi="Bookman Old Style" w:cs="Times New Roman"/>
          <w:i/>
          <w:sz w:val="28"/>
          <w:szCs w:val="28"/>
          <w:lang w:val="fr-FR"/>
        </w:rPr>
      </w:pPr>
      <w:r w:rsidRPr="00E33F9D">
        <w:rPr>
          <w:rFonts w:ascii="Bookman Old Style" w:hAnsi="Bookman Old Style" w:cs="Times New Roman"/>
          <w:i/>
          <w:sz w:val="28"/>
          <w:szCs w:val="28"/>
          <w:lang w:val="fr-FR"/>
        </w:rPr>
        <w:tab/>
      </w:r>
      <w:r w:rsidRPr="00E33F9D">
        <w:rPr>
          <w:rFonts w:ascii="Bookman Old Style" w:hAnsi="Bookman Old Style" w:cs="Times New Roman"/>
          <w:i/>
          <w:sz w:val="28"/>
          <w:szCs w:val="28"/>
          <w:lang w:val="fr-FR"/>
        </w:rPr>
        <w:tab/>
      </w:r>
      <w:r w:rsidRPr="00E33F9D">
        <w:rPr>
          <w:rFonts w:ascii="Bookman Old Style" w:hAnsi="Bookman Old Style" w:cs="Times New Roman"/>
          <w:i/>
          <w:sz w:val="28"/>
          <w:szCs w:val="28"/>
          <w:lang w:val="fr-FR"/>
        </w:rPr>
        <w:tab/>
      </w:r>
      <w:r w:rsidRPr="00E33F9D">
        <w:rPr>
          <w:rFonts w:ascii="Bookman Old Style" w:hAnsi="Bookman Old Style" w:cs="Times New Roman"/>
          <w:i/>
          <w:sz w:val="28"/>
          <w:szCs w:val="28"/>
          <w:lang w:val="fr-FR"/>
        </w:rPr>
        <w:tab/>
      </w:r>
      <w:r w:rsidRPr="00F743C7">
        <w:rPr>
          <w:rFonts w:ascii="Bookman Old Style" w:hAnsi="Bookman Old Style" w:cs="Times New Roman"/>
          <w:i/>
          <w:sz w:val="28"/>
          <w:szCs w:val="28"/>
          <w:lang w:val="el-GR"/>
        </w:rPr>
        <w:t>Εφεσείουσα</w:t>
      </w:r>
      <w:r w:rsidRPr="00E33F9D">
        <w:rPr>
          <w:rFonts w:ascii="Bookman Old Style" w:hAnsi="Bookman Old Style" w:cs="Times New Roman"/>
          <w:i/>
          <w:sz w:val="28"/>
          <w:szCs w:val="28"/>
          <w:lang w:val="fr-FR"/>
        </w:rPr>
        <w:t>,</w:t>
      </w:r>
    </w:p>
    <w:p w14:paraId="0D1715A3" w14:textId="77777777" w:rsidR="0011064F" w:rsidRPr="00E33F9D" w:rsidRDefault="0011064F" w:rsidP="0011064F">
      <w:pPr>
        <w:jc w:val="center"/>
        <w:rPr>
          <w:rFonts w:ascii="Bookman Old Style" w:hAnsi="Bookman Old Style" w:cs="Times New Roman"/>
          <w:iCs/>
          <w:sz w:val="28"/>
          <w:szCs w:val="28"/>
          <w:lang w:val="fr-FR"/>
        </w:rPr>
      </w:pPr>
      <w:r w:rsidRPr="00F743C7">
        <w:rPr>
          <w:rFonts w:ascii="Bookman Old Style" w:hAnsi="Bookman Old Style" w:cs="Times New Roman"/>
          <w:iCs/>
          <w:sz w:val="28"/>
          <w:szCs w:val="28"/>
          <w:lang w:val="el-GR"/>
        </w:rPr>
        <w:t>ν</w:t>
      </w:r>
      <w:r w:rsidRPr="00E33F9D">
        <w:rPr>
          <w:rFonts w:ascii="Bookman Old Style" w:hAnsi="Bookman Old Style" w:cs="Times New Roman"/>
          <w:iCs/>
          <w:sz w:val="28"/>
          <w:szCs w:val="28"/>
          <w:lang w:val="fr-FR"/>
        </w:rPr>
        <w:t>.</w:t>
      </w:r>
    </w:p>
    <w:p w14:paraId="49A5BB3F" w14:textId="77777777" w:rsidR="0011064F" w:rsidRPr="00E33F9D" w:rsidRDefault="0011064F" w:rsidP="0011064F">
      <w:pPr>
        <w:spacing w:after="0" w:line="240" w:lineRule="auto"/>
        <w:jc w:val="center"/>
        <w:rPr>
          <w:rFonts w:ascii="Bookman Old Style" w:hAnsi="Bookman Old Style" w:cs="Times New Roman"/>
          <w:iCs/>
          <w:sz w:val="28"/>
          <w:szCs w:val="28"/>
          <w:lang w:val="fr-FR"/>
        </w:rPr>
      </w:pPr>
    </w:p>
    <w:p w14:paraId="760D4B98" w14:textId="36F7D6C7" w:rsidR="0011064F" w:rsidRPr="00E33F9D" w:rsidRDefault="0011064F" w:rsidP="0011064F">
      <w:pPr>
        <w:jc w:val="center"/>
        <w:rPr>
          <w:rFonts w:ascii="Bookman Old Style" w:hAnsi="Bookman Old Style" w:cs="Times New Roman"/>
          <w:iCs/>
          <w:sz w:val="28"/>
          <w:szCs w:val="28"/>
          <w:lang w:val="el-GR"/>
        </w:rPr>
      </w:pPr>
      <w:r>
        <w:rPr>
          <w:rFonts w:ascii="Bookman Old Style" w:hAnsi="Bookman Old Style" w:cs="Times New Roman"/>
          <w:iCs/>
          <w:sz w:val="28"/>
          <w:szCs w:val="28"/>
        </w:rPr>
        <w:t>VCARE</w:t>
      </w:r>
      <w:r w:rsidRPr="00E33F9D">
        <w:rPr>
          <w:rFonts w:ascii="Bookman Old Style" w:hAnsi="Bookman Old Style" w:cs="Times New Roman"/>
          <w:iCs/>
          <w:sz w:val="28"/>
          <w:szCs w:val="28"/>
          <w:lang w:val="el-GR"/>
        </w:rPr>
        <w:t xml:space="preserve"> </w:t>
      </w:r>
      <w:r>
        <w:rPr>
          <w:rFonts w:ascii="Bookman Old Style" w:hAnsi="Bookman Old Style" w:cs="Times New Roman"/>
          <w:iCs/>
          <w:sz w:val="28"/>
          <w:szCs w:val="28"/>
        </w:rPr>
        <w:t>LTD</w:t>
      </w:r>
    </w:p>
    <w:p w14:paraId="7719F75C" w14:textId="77777777" w:rsidR="0011064F" w:rsidRPr="00F743C7" w:rsidRDefault="0011064F" w:rsidP="0011064F">
      <w:pPr>
        <w:tabs>
          <w:tab w:val="left" w:pos="5670"/>
        </w:tabs>
        <w:rPr>
          <w:rFonts w:ascii="Bookman Old Style" w:hAnsi="Bookman Old Style" w:cs="Times New Roman"/>
          <w:i/>
          <w:sz w:val="28"/>
          <w:szCs w:val="28"/>
          <w:lang w:val="el-GR"/>
        </w:rPr>
      </w:pPr>
      <w:r w:rsidRPr="00E33F9D">
        <w:rPr>
          <w:rFonts w:ascii="Bookman Old Style" w:hAnsi="Bookman Old Style" w:cs="Times New Roman"/>
          <w:i/>
          <w:sz w:val="28"/>
          <w:szCs w:val="28"/>
          <w:lang w:val="el-GR"/>
        </w:rPr>
        <w:tab/>
      </w:r>
      <w:r w:rsidRPr="00E33F9D">
        <w:rPr>
          <w:rFonts w:ascii="Bookman Old Style" w:hAnsi="Bookman Old Style" w:cs="Times New Roman"/>
          <w:i/>
          <w:sz w:val="28"/>
          <w:szCs w:val="28"/>
          <w:lang w:val="el-GR"/>
        </w:rPr>
        <w:tab/>
      </w:r>
      <w:r w:rsidRPr="00E33F9D">
        <w:rPr>
          <w:rFonts w:ascii="Bookman Old Style" w:hAnsi="Bookman Old Style" w:cs="Times New Roman"/>
          <w:i/>
          <w:sz w:val="28"/>
          <w:szCs w:val="28"/>
          <w:lang w:val="el-GR"/>
        </w:rPr>
        <w:tab/>
      </w:r>
      <w:r w:rsidRPr="00F743C7">
        <w:rPr>
          <w:rFonts w:ascii="Bookman Old Style" w:hAnsi="Bookman Old Style" w:cs="Times New Roman"/>
          <w:i/>
          <w:sz w:val="28"/>
          <w:szCs w:val="28"/>
          <w:lang w:val="el-GR"/>
        </w:rPr>
        <w:t>Εφεσίβλητης.</w:t>
      </w:r>
    </w:p>
    <w:p w14:paraId="3A33690D" w14:textId="77777777" w:rsidR="0011064F" w:rsidRDefault="0011064F" w:rsidP="0011064F">
      <w:pPr>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w:t>
      </w:r>
    </w:p>
    <w:p w14:paraId="6151EF76" w14:textId="77777777" w:rsidR="0011064F" w:rsidRPr="00F743C7" w:rsidRDefault="0011064F" w:rsidP="0011064F">
      <w:pPr>
        <w:jc w:val="center"/>
        <w:rPr>
          <w:rFonts w:ascii="Bookman Old Style" w:hAnsi="Bookman Old Style" w:cs="Times New Roman"/>
          <w:sz w:val="28"/>
          <w:szCs w:val="28"/>
          <w:lang w:val="el-GR"/>
        </w:rPr>
      </w:pPr>
    </w:p>
    <w:p w14:paraId="1F5C769C" w14:textId="1BBCACCF" w:rsidR="0011064F" w:rsidRPr="00F743C7" w:rsidRDefault="0011064F" w:rsidP="0011064F">
      <w:pPr>
        <w:tabs>
          <w:tab w:val="left" w:pos="567"/>
        </w:tabs>
        <w:spacing w:line="276" w:lineRule="auto"/>
        <w:ind w:left="567"/>
        <w:rPr>
          <w:rFonts w:ascii="Bookman Old Style" w:hAnsi="Bookman Old Style" w:cs="Times New Roman"/>
          <w:sz w:val="28"/>
          <w:szCs w:val="28"/>
          <w:lang w:val="el-GR"/>
        </w:rPr>
      </w:pPr>
      <w:r>
        <w:rPr>
          <w:rFonts w:ascii="Bookman Old Style" w:hAnsi="Bookman Old Style" w:cs="Times New Roman"/>
          <w:i/>
          <w:iCs/>
          <w:sz w:val="28"/>
          <w:szCs w:val="28"/>
          <w:lang w:val="el-GR"/>
        </w:rPr>
        <w:t>Κ. Ζουρμπάνου (κα) μαζί με Α. Τσιλίδου (κα)</w:t>
      </w:r>
      <w:r w:rsidRPr="0011064F">
        <w:rPr>
          <w:rFonts w:ascii="Bookman Old Style" w:hAnsi="Bookman Old Style" w:cs="Times New Roman"/>
          <w:i/>
          <w:iCs/>
          <w:sz w:val="28"/>
          <w:szCs w:val="28"/>
          <w:lang w:val="el-GR"/>
        </w:rPr>
        <w:t xml:space="preserve">, </w:t>
      </w:r>
      <w:r>
        <w:rPr>
          <w:rFonts w:ascii="Bookman Old Style" w:hAnsi="Bookman Old Style" w:cs="Times New Roman"/>
          <w:i/>
          <w:iCs/>
          <w:sz w:val="28"/>
          <w:szCs w:val="28"/>
          <w:lang w:val="el-GR"/>
        </w:rPr>
        <w:t>για</w:t>
      </w:r>
      <w:r w:rsidRPr="0011064F">
        <w:rPr>
          <w:rFonts w:ascii="Bookman Old Style" w:hAnsi="Bookman Old Style" w:cs="Times New Roman"/>
          <w:i/>
          <w:iCs/>
          <w:sz w:val="28"/>
          <w:szCs w:val="28"/>
          <w:lang w:val="el-GR"/>
        </w:rPr>
        <w:t xml:space="preserve"> </w:t>
      </w:r>
      <w:r>
        <w:rPr>
          <w:rFonts w:ascii="Bookman Old Style" w:hAnsi="Bookman Old Style" w:cs="Times New Roman"/>
          <w:i/>
          <w:iCs/>
          <w:sz w:val="28"/>
          <w:szCs w:val="28"/>
        </w:rPr>
        <w:t>L</w:t>
      </w:r>
      <w:r w:rsidRPr="0011064F">
        <w:rPr>
          <w:rFonts w:ascii="Bookman Old Style" w:hAnsi="Bookman Old Style" w:cs="Times New Roman"/>
          <w:i/>
          <w:iCs/>
          <w:sz w:val="28"/>
          <w:szCs w:val="28"/>
          <w:lang w:val="el-GR"/>
        </w:rPr>
        <w:t xml:space="preserve">. </w:t>
      </w:r>
      <w:r>
        <w:rPr>
          <w:rFonts w:ascii="Bookman Old Style" w:hAnsi="Bookman Old Style" w:cs="Times New Roman"/>
          <w:i/>
          <w:iCs/>
          <w:sz w:val="28"/>
          <w:szCs w:val="28"/>
        </w:rPr>
        <w:t>Zambartas</w:t>
      </w:r>
      <w:r w:rsidRPr="0011064F">
        <w:rPr>
          <w:rFonts w:ascii="Bookman Old Style" w:hAnsi="Bookman Old Style" w:cs="Times New Roman"/>
          <w:i/>
          <w:iCs/>
          <w:sz w:val="28"/>
          <w:szCs w:val="28"/>
          <w:lang w:val="el-GR"/>
        </w:rPr>
        <w:t xml:space="preserve"> </w:t>
      </w:r>
      <w:r w:rsidRPr="0011064F">
        <w:rPr>
          <w:rFonts w:ascii="Bookman Old Style" w:hAnsi="Bookman Old Style" w:cs="Times New Roman"/>
          <w:sz w:val="28"/>
          <w:szCs w:val="28"/>
        </w:rPr>
        <w:t>LLC</w:t>
      </w:r>
      <w:r w:rsidRPr="0011064F">
        <w:rPr>
          <w:rFonts w:ascii="Bookman Old Style" w:hAnsi="Bookman Old Style" w:cs="Times New Roman"/>
          <w:sz w:val="28"/>
          <w:szCs w:val="28"/>
          <w:lang w:val="el-GR"/>
        </w:rPr>
        <w:t xml:space="preserve">, </w:t>
      </w:r>
      <w:r w:rsidRPr="00F743C7">
        <w:rPr>
          <w:rFonts w:ascii="Bookman Old Style" w:hAnsi="Bookman Old Style" w:cs="Times New Roman"/>
          <w:sz w:val="28"/>
          <w:szCs w:val="28"/>
          <w:lang w:val="el-GR"/>
        </w:rPr>
        <w:t>για την Εφεσείουσα.</w:t>
      </w:r>
    </w:p>
    <w:p w14:paraId="2C576A78" w14:textId="77777777" w:rsidR="0011064F" w:rsidRDefault="0011064F" w:rsidP="0011064F">
      <w:pPr>
        <w:spacing w:line="276" w:lineRule="auto"/>
        <w:ind w:left="567"/>
        <w:rPr>
          <w:rFonts w:ascii="Bookman Old Style" w:hAnsi="Bookman Old Style" w:cs="Times New Roman"/>
          <w:i/>
          <w:iCs/>
          <w:sz w:val="28"/>
          <w:szCs w:val="28"/>
          <w:lang w:val="el-GR"/>
        </w:rPr>
      </w:pPr>
      <w:r>
        <w:rPr>
          <w:rFonts w:ascii="Bookman Old Style" w:hAnsi="Bookman Old Style" w:cs="Times New Roman"/>
          <w:i/>
          <w:iCs/>
          <w:sz w:val="28"/>
          <w:szCs w:val="28"/>
          <w:lang w:val="el-GR"/>
        </w:rPr>
        <w:t>Λ. Αλεξανδράκης, για Στυλιανός Ν. Χριστοφόρου &amp; Συνεργάτες Δ.Ε.Π.Ε.</w:t>
      </w:r>
    </w:p>
    <w:p w14:paraId="3ED6ADBC" w14:textId="77777777" w:rsidR="0011064F" w:rsidRPr="00F743C7" w:rsidRDefault="0011064F" w:rsidP="0011064F">
      <w:pPr>
        <w:spacing w:line="276" w:lineRule="auto"/>
        <w:ind w:left="567"/>
        <w:rPr>
          <w:rFonts w:ascii="Bookman Old Style" w:hAnsi="Bookman Old Style" w:cs="Times New Roman"/>
          <w:sz w:val="28"/>
          <w:szCs w:val="28"/>
          <w:lang w:val="el-GR"/>
        </w:rPr>
      </w:pPr>
    </w:p>
    <w:p w14:paraId="4CD3E6EE" w14:textId="4BBC29A6" w:rsidR="0011064F" w:rsidRDefault="00D6280F" w:rsidP="00D6280F">
      <w:pPr>
        <w:tabs>
          <w:tab w:val="left" w:pos="567"/>
        </w:tabs>
        <w:spacing w:line="276" w:lineRule="auto"/>
        <w:jc w:val="center"/>
        <w:rPr>
          <w:rFonts w:ascii="Bookman Old Style" w:hAnsi="Bookman Old Style" w:cs="Times New Roman"/>
          <w:i/>
          <w:iCs/>
          <w:sz w:val="28"/>
          <w:szCs w:val="28"/>
          <w:lang w:val="el-GR"/>
        </w:rPr>
      </w:pPr>
      <w:r>
        <w:rPr>
          <w:rFonts w:ascii="Bookman Old Style" w:hAnsi="Bookman Old Style" w:cs="Times New Roman"/>
          <w:i/>
          <w:iCs/>
          <w:sz w:val="28"/>
          <w:szCs w:val="28"/>
          <w:lang w:val="el-GR"/>
        </w:rPr>
        <w:t>......................</w:t>
      </w:r>
    </w:p>
    <w:p w14:paraId="09A07D67" w14:textId="77777777" w:rsidR="00D6280F" w:rsidRPr="00F743C7" w:rsidRDefault="00D6280F" w:rsidP="00D6280F">
      <w:pPr>
        <w:tabs>
          <w:tab w:val="left" w:pos="567"/>
        </w:tabs>
        <w:spacing w:line="276" w:lineRule="auto"/>
        <w:jc w:val="center"/>
        <w:rPr>
          <w:rFonts w:ascii="Bookman Old Style" w:hAnsi="Bookman Old Style" w:cs="Times New Roman"/>
          <w:i/>
          <w:iCs/>
          <w:sz w:val="28"/>
          <w:szCs w:val="28"/>
          <w:lang w:val="el-GR"/>
        </w:rPr>
      </w:pPr>
    </w:p>
    <w:p w14:paraId="784F05EF" w14:textId="77777777" w:rsidR="0011064F" w:rsidRPr="00F743C7" w:rsidRDefault="0011064F" w:rsidP="0011064F">
      <w:pPr>
        <w:tabs>
          <w:tab w:val="left" w:pos="567"/>
        </w:tabs>
        <w:spacing w:after="0" w:line="276" w:lineRule="auto"/>
        <w:rPr>
          <w:rFonts w:ascii="Bookman Old Style" w:hAnsi="Bookman Old Style" w:cs="Times New Roman"/>
          <w:sz w:val="28"/>
          <w:szCs w:val="28"/>
          <w:lang w:val="el-GR"/>
        </w:rPr>
      </w:pPr>
      <w:r w:rsidRPr="00F743C7">
        <w:rPr>
          <w:rFonts w:ascii="Bookman Old Style" w:hAnsi="Bookman Old Style" w:cs="Times New Roman"/>
          <w:b/>
          <w:sz w:val="28"/>
          <w:szCs w:val="28"/>
          <w:lang w:val="el-GR"/>
        </w:rPr>
        <w:t>ΜΑΛΑΧΤΟΣ, Δ.:</w:t>
      </w:r>
      <w:r w:rsidRPr="00F743C7">
        <w:rPr>
          <w:rFonts w:ascii="Bookman Old Style" w:hAnsi="Bookman Old Style" w:cs="Times New Roman"/>
          <w:sz w:val="28"/>
          <w:szCs w:val="28"/>
          <w:lang w:val="el-GR"/>
        </w:rPr>
        <w:t xml:space="preserve"> Η απόφαση του Δικαστηρίου είναι ομόφωνη και </w:t>
      </w:r>
    </w:p>
    <w:p w14:paraId="0AA39AFD" w14:textId="77777777" w:rsidR="0011064F" w:rsidRPr="00F743C7" w:rsidRDefault="0011064F" w:rsidP="0011064F">
      <w:pPr>
        <w:tabs>
          <w:tab w:val="left" w:pos="567"/>
        </w:tabs>
        <w:spacing w:line="276" w:lineRule="auto"/>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 xml:space="preserve"> θα δοθεί από την Εφραίμ, Δ.</w:t>
      </w:r>
    </w:p>
    <w:p w14:paraId="417D8472" w14:textId="77777777" w:rsidR="0011064F" w:rsidRDefault="0011064F" w:rsidP="0011064F">
      <w:pPr>
        <w:tabs>
          <w:tab w:val="left" w:pos="567"/>
        </w:tabs>
        <w:jc w:val="center"/>
        <w:rPr>
          <w:rFonts w:ascii="Bookman Old Style" w:hAnsi="Bookman Old Style" w:cs="Times New Roman"/>
          <w:b/>
          <w:sz w:val="28"/>
          <w:szCs w:val="28"/>
          <w:u w:val="single"/>
          <w:lang w:val="el-GR"/>
        </w:rPr>
      </w:pPr>
    </w:p>
    <w:p w14:paraId="79FAD490" w14:textId="77777777" w:rsidR="0011064F" w:rsidRPr="00F743C7" w:rsidRDefault="0011064F" w:rsidP="0011064F">
      <w:pPr>
        <w:tabs>
          <w:tab w:val="left" w:pos="567"/>
        </w:tabs>
        <w:jc w:val="center"/>
        <w:rPr>
          <w:rFonts w:ascii="Bookman Old Style" w:hAnsi="Bookman Old Style" w:cs="Times New Roman"/>
          <w:b/>
          <w:sz w:val="28"/>
          <w:szCs w:val="28"/>
          <w:u w:val="single"/>
          <w:lang w:val="el-GR"/>
        </w:rPr>
      </w:pPr>
      <w:r w:rsidRPr="00F743C7">
        <w:rPr>
          <w:rFonts w:ascii="Bookman Old Style" w:hAnsi="Bookman Old Style" w:cs="Times New Roman"/>
          <w:b/>
          <w:sz w:val="28"/>
          <w:szCs w:val="28"/>
          <w:u w:val="single"/>
          <w:lang w:val="el-GR"/>
        </w:rPr>
        <w:lastRenderedPageBreak/>
        <w:t>Α Π Ο Φ Α Σ Η</w:t>
      </w:r>
    </w:p>
    <w:p w14:paraId="26B9A2EF" w14:textId="77777777" w:rsidR="0011064F" w:rsidRPr="00F743C7" w:rsidRDefault="0011064F" w:rsidP="0011064F">
      <w:pPr>
        <w:tabs>
          <w:tab w:val="left" w:pos="567"/>
        </w:tabs>
        <w:jc w:val="center"/>
        <w:rPr>
          <w:rFonts w:ascii="Bookman Old Style" w:hAnsi="Bookman Old Style" w:cs="Times New Roman"/>
          <w:b/>
          <w:sz w:val="28"/>
          <w:szCs w:val="28"/>
          <w:u w:val="single"/>
          <w:lang w:val="el-GR"/>
        </w:rPr>
      </w:pPr>
    </w:p>
    <w:p w14:paraId="4A6FEF28" w14:textId="665CEACC" w:rsidR="00877D1C" w:rsidRDefault="0011064F" w:rsidP="0011064F">
      <w:pPr>
        <w:tabs>
          <w:tab w:val="left" w:pos="567"/>
        </w:tabs>
        <w:spacing w:line="480" w:lineRule="auto"/>
        <w:ind w:firstLine="567"/>
        <w:jc w:val="both"/>
        <w:rPr>
          <w:rFonts w:ascii="Bookman Old Style" w:hAnsi="Bookman Old Style"/>
          <w:sz w:val="28"/>
          <w:szCs w:val="28"/>
          <w:lang w:val="el-GR"/>
        </w:rPr>
      </w:pPr>
      <w:r>
        <w:rPr>
          <w:rFonts w:ascii="Bookman Old Style" w:hAnsi="Bookman Old Style" w:cs="Times New Roman"/>
          <w:b/>
          <w:sz w:val="28"/>
          <w:szCs w:val="28"/>
          <w:lang w:val="el-GR"/>
        </w:rPr>
        <w:tab/>
      </w:r>
      <w:r w:rsidRPr="00F743C7">
        <w:rPr>
          <w:rFonts w:ascii="Bookman Old Style" w:hAnsi="Bookman Old Style" w:cs="Times New Roman"/>
          <w:b/>
          <w:sz w:val="28"/>
          <w:szCs w:val="28"/>
          <w:lang w:val="el-GR"/>
        </w:rPr>
        <w:t xml:space="preserve">ΕΦΡΑΙΜ, Δ.: </w:t>
      </w:r>
      <w:r w:rsidR="009F1D82">
        <w:rPr>
          <w:rFonts w:ascii="Bookman Old Style" w:hAnsi="Bookman Old Style"/>
          <w:sz w:val="28"/>
          <w:szCs w:val="28"/>
          <w:lang w:val="el-GR"/>
        </w:rPr>
        <w:t xml:space="preserve">Η </w:t>
      </w:r>
      <w:r w:rsidR="00877D1C">
        <w:rPr>
          <w:rFonts w:ascii="Bookman Old Style" w:hAnsi="Bookman Old Style"/>
          <w:sz w:val="28"/>
          <w:szCs w:val="28"/>
          <w:lang w:val="el-GR"/>
        </w:rPr>
        <w:t>παρούσα</w:t>
      </w:r>
      <w:r w:rsidR="009F1D82">
        <w:rPr>
          <w:rFonts w:ascii="Bookman Old Style" w:hAnsi="Bookman Old Style"/>
          <w:sz w:val="28"/>
          <w:szCs w:val="28"/>
          <w:lang w:val="el-GR"/>
        </w:rPr>
        <w:t xml:space="preserve"> Έφεση στρέφεται εναντίον ενδιάμεσης απόφασης με την οποία απερρίφθη αίτηση για παραμερισμό της εκδοθείσας απόφασης</w:t>
      </w:r>
      <w:r w:rsidR="00877D1C">
        <w:rPr>
          <w:rFonts w:ascii="Bookman Old Style" w:hAnsi="Bookman Old Style"/>
          <w:sz w:val="28"/>
          <w:szCs w:val="28"/>
          <w:lang w:val="el-GR"/>
        </w:rPr>
        <w:t xml:space="preserve"> υπέρ της Εφεσίβλητης και εναντίον της Εφεσείουσας</w:t>
      </w:r>
      <w:r w:rsidR="006D1F00" w:rsidRPr="006D1F00">
        <w:rPr>
          <w:rFonts w:ascii="Bookman Old Style" w:hAnsi="Bookman Old Style"/>
          <w:sz w:val="28"/>
          <w:szCs w:val="28"/>
          <w:lang w:val="el-GR"/>
        </w:rPr>
        <w:t xml:space="preserve"> </w:t>
      </w:r>
      <w:r w:rsidR="006D1F00">
        <w:rPr>
          <w:rFonts w:ascii="Bookman Old Style" w:hAnsi="Bookman Old Style"/>
          <w:sz w:val="28"/>
          <w:szCs w:val="28"/>
          <w:lang w:val="el-GR"/>
        </w:rPr>
        <w:t>ερήμην της τελευταίας</w:t>
      </w:r>
      <w:r w:rsidR="00877D1C">
        <w:rPr>
          <w:rFonts w:ascii="Bookman Old Style" w:hAnsi="Bookman Old Style"/>
          <w:sz w:val="28"/>
          <w:szCs w:val="28"/>
          <w:lang w:val="el-GR"/>
        </w:rPr>
        <w:t xml:space="preserve">. </w:t>
      </w:r>
    </w:p>
    <w:p w14:paraId="5085CB5D" w14:textId="58931D93" w:rsidR="007619D9" w:rsidRDefault="00F47158" w:rsidP="00D6280F">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Η αγωγή αφορούσε αξίωση της Εφε</w:t>
      </w:r>
      <w:r w:rsidR="008641D1">
        <w:rPr>
          <w:rFonts w:ascii="Bookman Old Style" w:hAnsi="Bookman Old Style"/>
          <w:sz w:val="28"/>
          <w:szCs w:val="28"/>
          <w:lang w:val="el-GR"/>
        </w:rPr>
        <w:t>σίβλητης</w:t>
      </w:r>
      <w:r>
        <w:rPr>
          <w:rFonts w:ascii="Bookman Old Style" w:hAnsi="Bookman Old Style"/>
          <w:sz w:val="28"/>
          <w:szCs w:val="28"/>
          <w:lang w:val="el-GR"/>
        </w:rPr>
        <w:t xml:space="preserve"> για ειδικές αποζημιώσεις συνεπεία αντισυμβατικής συμπεριφοράς και ή παράνομης διακοπής συμφωνίας </w:t>
      </w:r>
      <w:r w:rsidR="00E742F1">
        <w:rPr>
          <w:rFonts w:ascii="Bookman Old Style" w:hAnsi="Bookman Old Style"/>
          <w:sz w:val="28"/>
          <w:szCs w:val="28"/>
          <w:lang w:val="el-GR"/>
        </w:rPr>
        <w:t xml:space="preserve">αντιπροσωπείας </w:t>
      </w:r>
      <w:r>
        <w:rPr>
          <w:rFonts w:ascii="Bookman Old Style" w:hAnsi="Bookman Old Style"/>
          <w:sz w:val="28"/>
          <w:szCs w:val="28"/>
          <w:lang w:val="el-GR"/>
        </w:rPr>
        <w:t xml:space="preserve">και ή διάθεσης προϊόντων και για </w:t>
      </w:r>
      <w:r w:rsidR="00926D7F">
        <w:rPr>
          <w:rFonts w:ascii="Bookman Old Style" w:hAnsi="Bookman Old Style"/>
          <w:sz w:val="28"/>
          <w:szCs w:val="28"/>
          <w:lang w:val="el-GR"/>
        </w:rPr>
        <w:t>«</w:t>
      </w:r>
      <w:r w:rsidRPr="00926D7F">
        <w:rPr>
          <w:rFonts w:ascii="Bookman Old Style" w:hAnsi="Bookman Old Style"/>
          <w:i/>
          <w:iCs/>
          <w:sz w:val="28"/>
          <w:szCs w:val="28"/>
          <w:lang w:val="el-GR"/>
        </w:rPr>
        <w:t>γενικές αποζημιώσεις για την επέκταση της εμπορικής εύνοιας των προϊόντων</w:t>
      </w:r>
      <w:r w:rsidR="00926D7F">
        <w:rPr>
          <w:rFonts w:ascii="Bookman Old Style" w:hAnsi="Bookman Old Style"/>
          <w:sz w:val="28"/>
          <w:szCs w:val="28"/>
          <w:lang w:val="el-GR"/>
        </w:rPr>
        <w:t>»</w:t>
      </w:r>
      <w:r>
        <w:rPr>
          <w:rFonts w:ascii="Bookman Old Style" w:hAnsi="Bookman Old Style"/>
          <w:sz w:val="28"/>
          <w:szCs w:val="28"/>
          <w:lang w:val="el-GR"/>
        </w:rPr>
        <w:t xml:space="preserve">. </w:t>
      </w:r>
      <w:r w:rsidR="00765A00">
        <w:rPr>
          <w:rFonts w:ascii="Bookman Old Style" w:hAnsi="Bookman Old Style"/>
          <w:sz w:val="28"/>
          <w:szCs w:val="28"/>
          <w:lang w:val="el-GR"/>
        </w:rPr>
        <w:t>Με την εκδοθείσα απόφαση</w:t>
      </w:r>
      <w:r w:rsidR="003F662B">
        <w:rPr>
          <w:rFonts w:ascii="Bookman Old Style" w:hAnsi="Bookman Old Style"/>
          <w:sz w:val="28"/>
          <w:szCs w:val="28"/>
          <w:lang w:val="el-GR"/>
        </w:rPr>
        <w:t xml:space="preserve"> </w:t>
      </w:r>
      <w:r w:rsidR="00B73251" w:rsidRPr="00926D7F">
        <w:rPr>
          <w:rFonts w:ascii="Bookman Old Style" w:hAnsi="Bookman Old Style"/>
          <w:sz w:val="28"/>
          <w:szCs w:val="28"/>
          <w:lang w:val="el-GR"/>
        </w:rPr>
        <w:t>ημερ.</w:t>
      </w:r>
      <w:r w:rsidR="00B73251">
        <w:rPr>
          <w:rFonts w:ascii="Bookman Old Style" w:hAnsi="Bookman Old Style"/>
          <w:sz w:val="28"/>
          <w:szCs w:val="28"/>
          <w:lang w:val="el-GR"/>
        </w:rPr>
        <w:t xml:space="preserve"> </w:t>
      </w:r>
      <w:r w:rsidR="00926D7F">
        <w:rPr>
          <w:rFonts w:ascii="Bookman Old Style" w:hAnsi="Bookman Old Style"/>
          <w:sz w:val="28"/>
          <w:szCs w:val="28"/>
          <w:lang w:val="el-GR"/>
        </w:rPr>
        <w:t xml:space="preserve">6.6.2012 </w:t>
      </w:r>
      <w:r w:rsidR="00765A00">
        <w:rPr>
          <w:rFonts w:ascii="Bookman Old Style" w:hAnsi="Bookman Old Style"/>
          <w:sz w:val="28"/>
          <w:szCs w:val="28"/>
          <w:lang w:val="el-GR"/>
        </w:rPr>
        <w:t xml:space="preserve">επιδικάστηκαν </w:t>
      </w:r>
      <w:r w:rsidR="002672B5">
        <w:rPr>
          <w:rFonts w:ascii="Bookman Old Style" w:hAnsi="Bookman Old Style"/>
          <w:sz w:val="28"/>
          <w:szCs w:val="28"/>
          <w:lang w:val="el-GR"/>
        </w:rPr>
        <w:t xml:space="preserve">υπέρ της Εφεσίβλητης και εναντίον της Εφεσείουσας </w:t>
      </w:r>
      <w:r w:rsidR="00765A00">
        <w:rPr>
          <w:rFonts w:ascii="Bookman Old Style" w:hAnsi="Bookman Old Style"/>
          <w:sz w:val="28"/>
          <w:szCs w:val="28"/>
          <w:lang w:val="el-GR"/>
        </w:rPr>
        <w:t xml:space="preserve">τα ποσά των </w:t>
      </w:r>
      <w:r w:rsidR="002672B5">
        <w:rPr>
          <w:rFonts w:ascii="Bookman Old Style" w:hAnsi="Bookman Old Style"/>
          <w:sz w:val="28"/>
          <w:szCs w:val="28"/>
          <w:lang w:val="el-GR"/>
        </w:rPr>
        <w:t xml:space="preserve">€30.730 ως ειδικές αποζημιώσεις και €20.608 ως γενικές αποζημιώσεις πλέον τόκο και έξοδα. </w:t>
      </w:r>
    </w:p>
    <w:p w14:paraId="5B11FD47" w14:textId="337DDBD5" w:rsidR="00765A00" w:rsidRDefault="0011064F" w:rsidP="00D6280F">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r>
      <w:r w:rsidR="00BD0F88">
        <w:rPr>
          <w:rFonts w:ascii="Bookman Old Style" w:hAnsi="Bookman Old Style"/>
          <w:sz w:val="28"/>
          <w:szCs w:val="28"/>
          <w:lang w:val="el-GR"/>
        </w:rPr>
        <w:t>Τ</w:t>
      </w:r>
      <w:r w:rsidR="002672B5">
        <w:rPr>
          <w:rFonts w:ascii="Bookman Old Style" w:hAnsi="Bookman Old Style"/>
          <w:sz w:val="28"/>
          <w:szCs w:val="28"/>
          <w:lang w:val="el-GR"/>
        </w:rPr>
        <w:t xml:space="preserve">ο πρωτόδικο Δικαστήριο έκρινε ότι η επίδοση του κλητηρίου εντάλματος στην Εφεσείουσα έγινε νομότυπα, ότι αυτή επέδειξε πλήρη αδιαφορία για την τύχη της αγωγής η οποία ισοδυναμεί με καταφρόνηση της δικαστικής διαδικασίας και ότι </w:t>
      </w:r>
      <w:r w:rsidR="00C310CD">
        <w:rPr>
          <w:rFonts w:ascii="Bookman Old Style" w:hAnsi="Bookman Old Style"/>
          <w:sz w:val="28"/>
          <w:szCs w:val="28"/>
          <w:lang w:val="el-GR"/>
        </w:rPr>
        <w:t xml:space="preserve">δεν κατάφερε να καταδείξει εκ πρώτης όψεως καλή υπεράσπιση. </w:t>
      </w:r>
      <w:r w:rsidR="002672B5">
        <w:rPr>
          <w:rFonts w:ascii="Bookman Old Style" w:hAnsi="Bookman Old Style"/>
          <w:sz w:val="28"/>
          <w:szCs w:val="28"/>
          <w:lang w:val="el-GR"/>
        </w:rPr>
        <w:t xml:space="preserve"> </w:t>
      </w:r>
    </w:p>
    <w:p w14:paraId="6B8C5D12" w14:textId="7C7B0C3C" w:rsidR="00877D1C" w:rsidRDefault="00F14733" w:rsidP="00D6280F">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 xml:space="preserve">Με </w:t>
      </w:r>
      <w:r w:rsidR="00B35CED">
        <w:rPr>
          <w:rFonts w:ascii="Bookman Old Style" w:hAnsi="Bookman Old Style"/>
          <w:sz w:val="28"/>
          <w:szCs w:val="28"/>
          <w:lang w:val="el-GR"/>
        </w:rPr>
        <w:t>το</w:t>
      </w:r>
      <w:r>
        <w:rPr>
          <w:rFonts w:ascii="Bookman Old Style" w:hAnsi="Bookman Old Style"/>
          <w:sz w:val="28"/>
          <w:szCs w:val="28"/>
          <w:lang w:val="el-GR"/>
        </w:rPr>
        <w:t>ν πρώτο λόγο έφεσης προσβάλλεται</w:t>
      </w:r>
      <w:r w:rsidR="009F47CC">
        <w:rPr>
          <w:rFonts w:ascii="Bookman Old Style" w:hAnsi="Bookman Old Style"/>
          <w:sz w:val="28"/>
          <w:szCs w:val="28"/>
          <w:lang w:val="el-GR"/>
        </w:rPr>
        <w:t xml:space="preserve"> ως εσφαλμένη</w:t>
      </w:r>
      <w:r>
        <w:rPr>
          <w:rFonts w:ascii="Bookman Old Style" w:hAnsi="Bookman Old Style"/>
          <w:sz w:val="28"/>
          <w:szCs w:val="28"/>
          <w:lang w:val="el-GR"/>
        </w:rPr>
        <w:t xml:space="preserve"> η παράλειψη</w:t>
      </w:r>
      <w:r w:rsidR="009F47CC">
        <w:rPr>
          <w:rFonts w:ascii="Bookman Old Style" w:hAnsi="Bookman Old Style"/>
          <w:sz w:val="28"/>
          <w:szCs w:val="28"/>
          <w:lang w:val="el-GR"/>
        </w:rPr>
        <w:t>, όπως αναφέρεται,</w:t>
      </w:r>
      <w:r>
        <w:rPr>
          <w:rFonts w:ascii="Bookman Old Style" w:hAnsi="Bookman Old Style"/>
          <w:sz w:val="28"/>
          <w:szCs w:val="28"/>
          <w:lang w:val="el-GR"/>
        </w:rPr>
        <w:t xml:space="preserve"> του πρωτόδικου Δικαστηρίου να εξετάσει το κατά πόσο ζητήθηκε και εξασφαλίστηκε </w:t>
      </w:r>
      <w:r w:rsidR="00414398">
        <w:rPr>
          <w:rFonts w:ascii="Bookman Old Style" w:hAnsi="Bookman Old Style"/>
          <w:sz w:val="28"/>
          <w:szCs w:val="28"/>
          <w:lang w:val="el-GR"/>
        </w:rPr>
        <w:t xml:space="preserve">διάταγμα σφράγισης πριν την καταχώριση της αγωγής. </w:t>
      </w:r>
    </w:p>
    <w:p w14:paraId="7F88E8A7" w14:textId="0A825635" w:rsidR="00A02C48" w:rsidRDefault="00A02C48" w:rsidP="00D6280F">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Το ζήτημα προβλήθηκε στην ένορκη δήλωση που συνοδεύει την αίτηση για παραμερισμό της απόφασης, στην </w:t>
      </w:r>
      <w:r w:rsidR="00777F71">
        <w:rPr>
          <w:rFonts w:ascii="Bookman Old Style" w:hAnsi="Bookman Old Style"/>
          <w:sz w:val="28"/>
          <w:szCs w:val="28"/>
          <w:lang w:val="el-GR"/>
        </w:rPr>
        <w:t>παρ</w:t>
      </w:r>
      <w:r w:rsidR="00BF4064">
        <w:rPr>
          <w:rFonts w:ascii="Bookman Old Style" w:hAnsi="Bookman Old Style"/>
          <w:sz w:val="28"/>
          <w:szCs w:val="28"/>
          <w:lang w:val="el-GR"/>
        </w:rPr>
        <w:t>άγραφο</w:t>
      </w:r>
      <w:r w:rsidR="00777F71">
        <w:rPr>
          <w:rFonts w:ascii="Bookman Old Style" w:hAnsi="Bookman Old Style"/>
          <w:sz w:val="28"/>
          <w:szCs w:val="28"/>
          <w:lang w:val="el-GR"/>
        </w:rPr>
        <w:t xml:space="preserve"> 17</w:t>
      </w:r>
      <w:r w:rsidR="00DE4967">
        <w:rPr>
          <w:rFonts w:ascii="Bookman Old Style" w:hAnsi="Bookman Old Style"/>
          <w:sz w:val="28"/>
          <w:szCs w:val="28"/>
          <w:lang w:val="el-GR"/>
        </w:rPr>
        <w:t xml:space="preserve"> της οποίας</w:t>
      </w:r>
      <w:r>
        <w:rPr>
          <w:rFonts w:ascii="Bookman Old Style" w:hAnsi="Bookman Old Style"/>
          <w:sz w:val="28"/>
          <w:szCs w:val="28"/>
          <w:lang w:val="el-GR"/>
        </w:rPr>
        <w:t xml:space="preserve"> προβάλλεται ισχυρισμός </w:t>
      </w:r>
      <w:r w:rsidR="00680A2A">
        <w:rPr>
          <w:rFonts w:ascii="Bookman Old Style" w:hAnsi="Bookman Old Style"/>
          <w:sz w:val="28"/>
          <w:szCs w:val="28"/>
          <w:lang w:val="el-GR"/>
        </w:rPr>
        <w:t xml:space="preserve">για την </w:t>
      </w:r>
      <w:r>
        <w:rPr>
          <w:rFonts w:ascii="Bookman Old Style" w:hAnsi="Bookman Old Style"/>
          <w:sz w:val="28"/>
          <w:szCs w:val="28"/>
          <w:lang w:val="el-GR"/>
        </w:rPr>
        <w:t xml:space="preserve">παράλειψη εξασφάλισης δικαστικού διατάγματος για σφράγιση του κλητηρίου εντάλματος. </w:t>
      </w:r>
      <w:r w:rsidR="00777F71">
        <w:rPr>
          <w:rFonts w:ascii="Bookman Old Style" w:hAnsi="Bookman Old Style"/>
          <w:sz w:val="28"/>
          <w:szCs w:val="28"/>
          <w:lang w:val="el-GR"/>
        </w:rPr>
        <w:t>Ο εν λόγω ισχυρισμός απορρίπτεται από την Εφεσείουσα μέσω της ένορκης δήλωσης που υποστηρίζει την ένσταση, εφόσον η ενόρκως δηλούσα απορρίπτει την παράγραφο 17 και ισχυρίζεται ότι η διαδικασία επίδοσης των εγγράφων ακολουθήθηκε πιστά και τα έγγραφα έχουν δεόντως επιδοθεί</w:t>
      </w:r>
      <w:r w:rsidR="00A60F29">
        <w:rPr>
          <w:rFonts w:ascii="Bookman Old Style" w:hAnsi="Bookman Old Style"/>
          <w:sz w:val="28"/>
          <w:szCs w:val="28"/>
          <w:lang w:val="el-GR"/>
        </w:rPr>
        <w:t>. Επομένως, δεν γίνεται δεκτή η εισήγηση της Εφεσείουσας ότι στο πλαίσιο της αίτησης παραμερισμού ο ισχυρισμός αυτός παρέμεινε αναντίλεκτος</w:t>
      </w:r>
      <w:r w:rsidR="00EE0225">
        <w:rPr>
          <w:rFonts w:ascii="Bookman Old Style" w:hAnsi="Bookman Old Style"/>
          <w:sz w:val="28"/>
          <w:szCs w:val="28"/>
          <w:lang w:val="el-GR"/>
        </w:rPr>
        <w:t>. Ε</w:t>
      </w:r>
      <w:r w:rsidR="00A60F29">
        <w:rPr>
          <w:rFonts w:ascii="Bookman Old Style" w:hAnsi="Bookman Old Style"/>
          <w:sz w:val="28"/>
          <w:szCs w:val="28"/>
          <w:lang w:val="el-GR"/>
        </w:rPr>
        <w:t xml:space="preserve">πιπλέον, από τη στιγμή που υπήρχε μαρτυρία περί της έκδοσης του σχετικού δικαστικού διατάγματος, ασφαλώς και το πρωτόδικο Δικαστήριο </w:t>
      </w:r>
      <w:r w:rsidR="00636982">
        <w:rPr>
          <w:rFonts w:ascii="Bookman Old Style" w:hAnsi="Bookman Old Style"/>
          <w:sz w:val="28"/>
          <w:szCs w:val="28"/>
          <w:lang w:val="el-GR"/>
        </w:rPr>
        <w:t xml:space="preserve">είχε τη δυνατότητα </w:t>
      </w:r>
      <w:r w:rsidR="00A60F29">
        <w:rPr>
          <w:rFonts w:ascii="Bookman Old Style" w:hAnsi="Bookman Old Style"/>
          <w:sz w:val="28"/>
          <w:szCs w:val="28"/>
          <w:lang w:val="el-GR"/>
        </w:rPr>
        <w:t xml:space="preserve">να προβεί στην εν λόγω διαπίστωση. </w:t>
      </w:r>
    </w:p>
    <w:p w14:paraId="61BF0DA9" w14:textId="4EBE7659" w:rsidR="00A02C48" w:rsidRDefault="00B662FA" w:rsidP="00D6280F">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Ως εκ τούτου καταλήγουμε ότι τ</w:t>
      </w:r>
      <w:r w:rsidR="00A02C48">
        <w:rPr>
          <w:rFonts w:ascii="Bookman Old Style" w:hAnsi="Bookman Old Style"/>
          <w:sz w:val="28"/>
          <w:szCs w:val="28"/>
          <w:lang w:val="el-GR"/>
        </w:rPr>
        <w:t>ο πρωτόδικο Δικαστήριο ασχολήθηκε με το θέμα</w:t>
      </w:r>
      <w:r>
        <w:rPr>
          <w:rFonts w:ascii="Bookman Old Style" w:hAnsi="Bookman Old Style"/>
          <w:sz w:val="28"/>
          <w:szCs w:val="28"/>
          <w:lang w:val="el-GR"/>
        </w:rPr>
        <w:t xml:space="preserve">, </w:t>
      </w:r>
      <w:r w:rsidR="00A02C48">
        <w:rPr>
          <w:rFonts w:ascii="Bookman Old Style" w:hAnsi="Bookman Old Style"/>
          <w:sz w:val="28"/>
          <w:szCs w:val="28"/>
          <w:lang w:val="el-GR"/>
        </w:rPr>
        <w:t xml:space="preserve">εξού και στην απόφαση του </w:t>
      </w:r>
      <w:r w:rsidR="002522BC">
        <w:rPr>
          <w:rFonts w:ascii="Bookman Old Style" w:hAnsi="Bookman Old Style"/>
          <w:sz w:val="28"/>
          <w:szCs w:val="28"/>
          <w:lang w:val="el-GR"/>
        </w:rPr>
        <w:t xml:space="preserve">επισημαίνει </w:t>
      </w:r>
      <w:r w:rsidR="00A02C48">
        <w:rPr>
          <w:rFonts w:ascii="Bookman Old Style" w:hAnsi="Bookman Old Style"/>
          <w:sz w:val="28"/>
          <w:szCs w:val="28"/>
          <w:lang w:val="el-GR"/>
        </w:rPr>
        <w:t xml:space="preserve">ότι στις 14.10.2011 η Εφεσίβλητη εξασφάλισε διάταγμα με το οποίο επιτρεπόταν η καταχώριση και σφράγιση του κλητηρίου εντάλματος εναντίον της Εφεσείουσας. </w:t>
      </w:r>
    </w:p>
    <w:p w14:paraId="6176F715" w14:textId="41DE101C" w:rsidR="00516B7E" w:rsidRDefault="00516B7E" w:rsidP="00D6280F">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Όπως αναφέρεται στην απόφαση και δεν αμφισβητείται, η αγωγή καταχωρίστηκε στις 31.10.2011 και στις 7.12.2011 εκδόθηκε διάταγμα για την επίδοση της αγωγής εκτός δικαιοδοσίας στην Εφεσείουσα σε συγκεκριμένη διεύθυνση στο Ηνωμένο Βασίλειο. Το πρωτόδικο Δικαστήριο σ</w:t>
      </w:r>
      <w:r w:rsidR="002522BC">
        <w:rPr>
          <w:rFonts w:ascii="Bookman Old Style" w:hAnsi="Bookman Old Style"/>
          <w:sz w:val="28"/>
          <w:szCs w:val="28"/>
          <w:lang w:val="el-GR"/>
        </w:rPr>
        <w:t>ημειώνει</w:t>
      </w:r>
      <w:r>
        <w:rPr>
          <w:rFonts w:ascii="Bookman Old Style" w:hAnsi="Bookman Old Style"/>
          <w:sz w:val="28"/>
          <w:szCs w:val="28"/>
          <w:lang w:val="el-GR"/>
        </w:rPr>
        <w:t xml:space="preserve"> ότι τα έγγραφα τα οποία στάληκαν για επίδοση </w:t>
      </w:r>
      <w:r w:rsidR="00677F77">
        <w:rPr>
          <w:rFonts w:ascii="Bookman Old Style" w:hAnsi="Bookman Old Style"/>
          <w:sz w:val="28"/>
          <w:szCs w:val="28"/>
          <w:lang w:val="el-GR"/>
        </w:rPr>
        <w:t xml:space="preserve">και επιδόθηκαν </w:t>
      </w:r>
      <w:r>
        <w:rPr>
          <w:rFonts w:ascii="Bookman Old Style" w:hAnsi="Bookman Old Style"/>
          <w:sz w:val="28"/>
          <w:szCs w:val="28"/>
          <w:lang w:val="el-GR"/>
        </w:rPr>
        <w:t>είναι το διάταγμα για επίδοση εκτός δικαιοδοσίας και αντίγραφ</w:t>
      </w:r>
      <w:r w:rsidR="00BB32F4">
        <w:rPr>
          <w:rFonts w:ascii="Bookman Old Style" w:hAnsi="Bookman Old Style"/>
          <w:sz w:val="28"/>
          <w:szCs w:val="28"/>
          <w:lang w:val="el-GR"/>
        </w:rPr>
        <w:t>α</w:t>
      </w:r>
      <w:r>
        <w:rPr>
          <w:rFonts w:ascii="Bookman Old Style" w:hAnsi="Bookman Old Style"/>
          <w:sz w:val="28"/>
          <w:szCs w:val="28"/>
          <w:lang w:val="el-GR"/>
        </w:rPr>
        <w:t xml:space="preserve"> του κλητηρίου εντάλματος με τις μεταφράσεις τους στα</w:t>
      </w:r>
      <w:r w:rsidR="00677F77">
        <w:rPr>
          <w:rFonts w:ascii="Bookman Old Style" w:hAnsi="Bookman Old Style"/>
          <w:sz w:val="28"/>
          <w:szCs w:val="28"/>
          <w:lang w:val="el-GR"/>
        </w:rPr>
        <w:t xml:space="preserve"> </w:t>
      </w:r>
      <w:r>
        <w:rPr>
          <w:rFonts w:ascii="Bookman Old Style" w:hAnsi="Bookman Old Style"/>
          <w:sz w:val="28"/>
          <w:szCs w:val="28"/>
          <w:lang w:val="el-GR"/>
        </w:rPr>
        <w:t xml:space="preserve">Αγγλικά. </w:t>
      </w:r>
    </w:p>
    <w:p w14:paraId="667ABE01" w14:textId="699E85B1" w:rsidR="00177195" w:rsidRDefault="00077183" w:rsidP="00D6280F">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Σημειώνουμε ότι η παράλειψη επίδοσης του διατάγματος για σφράγιση </w:t>
      </w:r>
      <w:r w:rsidR="007778B6">
        <w:rPr>
          <w:rFonts w:ascii="Bookman Old Style" w:hAnsi="Bookman Old Style"/>
          <w:sz w:val="28"/>
          <w:szCs w:val="28"/>
          <w:lang w:val="el-GR"/>
        </w:rPr>
        <w:t xml:space="preserve">δεν αποτελεί λόγο έφεσης και εν πάση περιπτώσει </w:t>
      </w:r>
      <w:r>
        <w:rPr>
          <w:rFonts w:ascii="Bookman Old Style" w:hAnsi="Bookman Old Style"/>
          <w:sz w:val="28"/>
          <w:szCs w:val="28"/>
          <w:lang w:val="el-GR"/>
        </w:rPr>
        <w:t>ουδόλως επηρεάζει το νομότυπο της διαδικασίας</w:t>
      </w:r>
      <w:r w:rsidR="007778B6">
        <w:rPr>
          <w:rFonts w:ascii="Bookman Old Style" w:hAnsi="Bookman Old Style"/>
          <w:sz w:val="28"/>
          <w:szCs w:val="28"/>
          <w:lang w:val="el-GR"/>
        </w:rPr>
        <w:t xml:space="preserve">. </w:t>
      </w:r>
    </w:p>
    <w:p w14:paraId="04E23A3E" w14:textId="018CF007" w:rsidR="007778B6" w:rsidRDefault="00B73251" w:rsidP="00D6280F">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Με </w:t>
      </w:r>
      <w:r w:rsidR="007476B0">
        <w:rPr>
          <w:rFonts w:ascii="Bookman Old Style" w:hAnsi="Bookman Old Style"/>
          <w:sz w:val="28"/>
          <w:szCs w:val="28"/>
          <w:lang w:val="el-GR"/>
        </w:rPr>
        <w:t xml:space="preserve">τον πρώτο λόγο έφεσης αποδίδεται επίσης </w:t>
      </w:r>
      <w:r w:rsidR="005875C2">
        <w:rPr>
          <w:rFonts w:ascii="Bookman Old Style" w:hAnsi="Bookman Old Style"/>
          <w:sz w:val="28"/>
          <w:szCs w:val="28"/>
          <w:lang w:val="el-GR"/>
        </w:rPr>
        <w:t xml:space="preserve">παράλειψη εξέτασης του ισχυρισμού της Εφεσείουσας πως δεν είχε λάβει γνώση της αγωγής. </w:t>
      </w:r>
    </w:p>
    <w:p w14:paraId="1CF8ED94" w14:textId="07134C58" w:rsidR="0012654A" w:rsidRDefault="003372D0" w:rsidP="0011064F">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Για το θέμα της επίδοσης της αγωγής, τ</w:t>
      </w:r>
      <w:r w:rsidR="0012654A">
        <w:rPr>
          <w:rFonts w:ascii="Bookman Old Style" w:hAnsi="Bookman Old Style"/>
          <w:sz w:val="28"/>
          <w:szCs w:val="28"/>
          <w:lang w:val="el-GR"/>
        </w:rPr>
        <w:t xml:space="preserve">ο πρωτόδικο Δικαστήριο </w:t>
      </w:r>
      <w:r w:rsidR="00F325A9">
        <w:rPr>
          <w:rFonts w:ascii="Bookman Old Style" w:hAnsi="Bookman Old Style"/>
          <w:sz w:val="28"/>
          <w:szCs w:val="28"/>
          <w:lang w:val="el-GR"/>
        </w:rPr>
        <w:t>αναφέρ</w:t>
      </w:r>
      <w:r w:rsidR="00981E12">
        <w:rPr>
          <w:rFonts w:ascii="Bookman Old Style" w:hAnsi="Bookman Old Style"/>
          <w:sz w:val="28"/>
          <w:szCs w:val="28"/>
          <w:lang w:val="el-GR"/>
        </w:rPr>
        <w:t>ε</w:t>
      </w:r>
      <w:r w:rsidR="00F325A9">
        <w:rPr>
          <w:rFonts w:ascii="Bookman Old Style" w:hAnsi="Bookman Old Style"/>
          <w:sz w:val="28"/>
          <w:szCs w:val="28"/>
          <w:lang w:val="el-GR"/>
        </w:rPr>
        <w:t>ι</w:t>
      </w:r>
      <w:r w:rsidR="00981E12">
        <w:rPr>
          <w:rFonts w:ascii="Bookman Old Style" w:hAnsi="Bookman Old Style"/>
          <w:sz w:val="28"/>
          <w:szCs w:val="28"/>
          <w:lang w:val="el-GR"/>
        </w:rPr>
        <w:t xml:space="preserve"> </w:t>
      </w:r>
      <w:r w:rsidR="0012654A">
        <w:rPr>
          <w:rFonts w:ascii="Bookman Old Style" w:hAnsi="Bookman Old Style"/>
          <w:sz w:val="28"/>
          <w:szCs w:val="28"/>
          <w:lang w:val="el-GR"/>
        </w:rPr>
        <w:t xml:space="preserve">ότι η Εφεσίβλητη, μέσω του δικηγόρου της, </w:t>
      </w:r>
      <w:r>
        <w:rPr>
          <w:rFonts w:ascii="Bookman Old Style" w:hAnsi="Bookman Old Style"/>
          <w:sz w:val="28"/>
          <w:szCs w:val="28"/>
          <w:lang w:val="el-GR"/>
        </w:rPr>
        <w:t>απέστειλε στις 14.3.2012 μέσω του Υπουργείου Δικαιοσύνης, το διάταγμα για επίδοση εκτός δικαιοδοσίας</w:t>
      </w:r>
      <w:r w:rsidR="00DB5F56">
        <w:rPr>
          <w:rFonts w:ascii="Bookman Old Style" w:hAnsi="Bookman Old Style"/>
          <w:sz w:val="28"/>
          <w:szCs w:val="28"/>
          <w:lang w:val="el-GR"/>
        </w:rPr>
        <w:t xml:space="preserve"> και</w:t>
      </w:r>
      <w:r>
        <w:rPr>
          <w:rFonts w:ascii="Bookman Old Style" w:hAnsi="Bookman Old Style"/>
          <w:sz w:val="28"/>
          <w:szCs w:val="28"/>
          <w:lang w:val="el-GR"/>
        </w:rPr>
        <w:t xml:space="preserve"> δύο πιστ</w:t>
      </w:r>
      <w:r w:rsidR="00DB5F56">
        <w:rPr>
          <w:rFonts w:ascii="Bookman Old Style" w:hAnsi="Bookman Old Style"/>
          <w:sz w:val="28"/>
          <w:szCs w:val="28"/>
          <w:lang w:val="el-GR"/>
        </w:rPr>
        <w:t>ά</w:t>
      </w:r>
      <w:r>
        <w:rPr>
          <w:rFonts w:ascii="Bookman Old Style" w:hAnsi="Bookman Old Style"/>
          <w:sz w:val="28"/>
          <w:szCs w:val="28"/>
          <w:lang w:val="el-GR"/>
        </w:rPr>
        <w:t xml:space="preserve"> αντ</w:t>
      </w:r>
      <w:r w:rsidR="00DB5F56">
        <w:rPr>
          <w:rFonts w:ascii="Bookman Old Style" w:hAnsi="Bookman Old Style"/>
          <w:sz w:val="28"/>
          <w:szCs w:val="28"/>
          <w:lang w:val="el-GR"/>
        </w:rPr>
        <w:t>ίγραφα</w:t>
      </w:r>
      <w:r>
        <w:rPr>
          <w:rFonts w:ascii="Bookman Old Style" w:hAnsi="Bookman Old Style"/>
          <w:sz w:val="28"/>
          <w:szCs w:val="28"/>
          <w:lang w:val="el-GR"/>
        </w:rPr>
        <w:t xml:space="preserve"> του κλητηρίου εντάλματος με τις μεταφράσεις τους, για επίδοση μέσω της νενομισμένης οδού στην Αγγλία. Κατά τις 26.4.2012 το Υπουργείο Δικαιοσύνης απέστειλε στο γραφείο των δικηγόρων της Εφεσίβλητης βεβαίωση της επίδοσης, με την οποία τους ενημέρωνε ότι τα έγγραφα επιδόθηκαν στις 5.4.2012. Όπως επισημαίνει το πρωτόδικο Δικαστήριο, σύμφωνα με το πιστοποιητικό επίδοσης, ο </w:t>
      </w:r>
      <w:r w:rsidR="0078136A">
        <w:rPr>
          <w:rFonts w:ascii="Bookman Old Style" w:hAnsi="Bookman Old Style"/>
          <w:sz w:val="28"/>
          <w:szCs w:val="28"/>
          <w:lang w:val="el-GR"/>
        </w:rPr>
        <w:t>Ά</w:t>
      </w:r>
      <w:r w:rsidR="00B73251">
        <w:rPr>
          <w:rFonts w:ascii="Bookman Old Style" w:hAnsi="Bookman Old Style"/>
          <w:sz w:val="28"/>
          <w:szCs w:val="28"/>
          <w:lang w:val="el-GR"/>
        </w:rPr>
        <w:t xml:space="preserve">γγλος </w:t>
      </w:r>
      <w:r>
        <w:rPr>
          <w:rFonts w:ascii="Bookman Old Style" w:hAnsi="Bookman Old Style"/>
          <w:sz w:val="28"/>
          <w:szCs w:val="28"/>
          <w:lang w:val="el-GR"/>
        </w:rPr>
        <w:t>επιδότης βεβαιώνει πως επέδωσε τα έγγραφα στον οικονομικό διευθυντή (</w:t>
      </w:r>
      <w:r>
        <w:rPr>
          <w:rFonts w:ascii="Bookman Old Style" w:hAnsi="Bookman Old Style"/>
          <w:sz w:val="28"/>
          <w:szCs w:val="28"/>
        </w:rPr>
        <w:t>financial</w:t>
      </w:r>
      <w:r w:rsidRPr="003372D0">
        <w:rPr>
          <w:rFonts w:ascii="Bookman Old Style" w:hAnsi="Bookman Old Style"/>
          <w:sz w:val="28"/>
          <w:szCs w:val="28"/>
          <w:lang w:val="el-GR"/>
        </w:rPr>
        <w:t xml:space="preserve"> </w:t>
      </w:r>
      <w:r>
        <w:rPr>
          <w:rFonts w:ascii="Bookman Old Style" w:hAnsi="Bookman Old Style"/>
          <w:sz w:val="28"/>
          <w:szCs w:val="28"/>
        </w:rPr>
        <w:t>controller</w:t>
      </w:r>
      <w:r w:rsidRPr="003372D0">
        <w:rPr>
          <w:rFonts w:ascii="Bookman Old Style" w:hAnsi="Bookman Old Style"/>
          <w:sz w:val="28"/>
          <w:szCs w:val="28"/>
          <w:lang w:val="el-GR"/>
        </w:rPr>
        <w:t>)</w:t>
      </w:r>
      <w:r>
        <w:rPr>
          <w:rFonts w:ascii="Bookman Old Style" w:hAnsi="Bookman Old Style"/>
          <w:sz w:val="28"/>
          <w:szCs w:val="28"/>
          <w:lang w:val="el-GR"/>
        </w:rPr>
        <w:t xml:space="preserve"> της Εφεσείουσας, με τις μεταφράσεις τους στα Αγγλικά. </w:t>
      </w:r>
    </w:p>
    <w:p w14:paraId="4B61078F" w14:textId="3147CE69" w:rsidR="000D6BEF" w:rsidRDefault="003372D0" w:rsidP="00D6280F">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Στην ένορκη δήλωση που συνόδευε την αίτηση παραμερισμού, η ενόρκως δηλούσα </w:t>
      </w:r>
      <w:r w:rsidR="000D6BEF">
        <w:rPr>
          <w:rFonts w:ascii="Bookman Old Style" w:hAnsi="Bookman Old Style"/>
          <w:sz w:val="28"/>
          <w:szCs w:val="28"/>
          <w:lang w:val="el-GR"/>
        </w:rPr>
        <w:t>αναγνωρίζει την έκδοση του πιστοποιητικού επίδοσης και πως σε αυτό αναγράφεται ότι η επίδοση έγινε στην καταγεγραμμένη στο διάταγμα διεύθυνση. Μάλιστα ισχυρίζεται ότι δεν αναγράφεται το όνομα του υπαλλήλου που κατ’ ισχυρισμό παρ</w:t>
      </w:r>
      <w:r w:rsidR="00020290">
        <w:rPr>
          <w:rFonts w:ascii="Bookman Old Style" w:hAnsi="Bookman Old Style"/>
          <w:sz w:val="28"/>
          <w:szCs w:val="28"/>
          <w:lang w:val="el-GR"/>
        </w:rPr>
        <w:t>έ</w:t>
      </w:r>
      <w:r w:rsidR="000D6BEF">
        <w:rPr>
          <w:rFonts w:ascii="Bookman Old Style" w:hAnsi="Bookman Old Style"/>
          <w:sz w:val="28"/>
          <w:szCs w:val="28"/>
          <w:lang w:val="el-GR"/>
        </w:rPr>
        <w:t xml:space="preserve">λαβε την αγωγή και κατά πόσο αυτός ήταν αξιωματούχος, γραμματέας ή πρόσωπο υπεύθυνο για την παραλαβή εγγράφων εκ μέρους της Εφεσείουσας. Είναι γεγονός πως </w:t>
      </w:r>
      <w:r w:rsidR="000D6BEF">
        <w:rPr>
          <w:rFonts w:ascii="Bookman Old Style" w:hAnsi="Bookman Old Style"/>
          <w:sz w:val="28"/>
          <w:szCs w:val="28"/>
          <w:lang w:val="el-GR"/>
        </w:rPr>
        <w:lastRenderedPageBreak/>
        <w:t xml:space="preserve">δεν αναγραφόταν το όνομα του προσώπου στο οποίο επιδόθηκαν τα έγγραφα, πλην όμως αναφερόταν η ιδιότητα αυτού </w:t>
      </w:r>
      <w:r w:rsidR="0038600B">
        <w:rPr>
          <w:rFonts w:ascii="Bookman Old Style" w:hAnsi="Bookman Old Style"/>
          <w:sz w:val="28"/>
          <w:szCs w:val="28"/>
          <w:lang w:val="el-GR"/>
        </w:rPr>
        <w:t xml:space="preserve">ως </w:t>
      </w:r>
      <w:r w:rsidR="000D6BEF">
        <w:rPr>
          <w:rFonts w:ascii="Bookman Old Style" w:hAnsi="Bookman Old Style"/>
          <w:sz w:val="28"/>
          <w:szCs w:val="28"/>
          <w:lang w:val="el-GR"/>
        </w:rPr>
        <w:t xml:space="preserve">του οικονομικού διευθυντή της Εφεσείουσας. </w:t>
      </w:r>
    </w:p>
    <w:p w14:paraId="3A99B681" w14:textId="47312B30" w:rsidR="003372D0" w:rsidRDefault="00501C0E" w:rsidP="00D6280F">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ενόρκως δηλούσα ισχυρίζεται περαιτέρω πως </w:t>
      </w:r>
      <w:r w:rsidR="00B061AB">
        <w:rPr>
          <w:rFonts w:ascii="Bookman Old Style" w:hAnsi="Bookman Old Style"/>
          <w:sz w:val="28"/>
          <w:szCs w:val="28"/>
          <w:lang w:val="el-GR"/>
        </w:rPr>
        <w:t>ουδείς αξιωματούχος, υπάλληλος ή αντιπρόσωπος της Εφεσείουσας είχε παραλάβει την αγωγή</w:t>
      </w:r>
      <w:r w:rsidR="006654AA">
        <w:rPr>
          <w:rFonts w:ascii="Bookman Old Style" w:hAnsi="Bookman Old Style"/>
          <w:sz w:val="28"/>
          <w:szCs w:val="28"/>
          <w:lang w:val="el-GR"/>
        </w:rPr>
        <w:t xml:space="preserve">, </w:t>
      </w:r>
      <w:r w:rsidR="00393E84">
        <w:rPr>
          <w:rFonts w:ascii="Bookman Old Style" w:hAnsi="Bookman Old Style"/>
          <w:sz w:val="28"/>
          <w:szCs w:val="28"/>
          <w:lang w:val="el-GR"/>
        </w:rPr>
        <w:t xml:space="preserve">πως δεν έχει ανευρεθεί οποιοδήποτε δικαστικό έγγραφο αναφορικά με την αγωγή στα αρχεία της εταιρείας, </w:t>
      </w:r>
      <w:r w:rsidR="00B061AB">
        <w:rPr>
          <w:rFonts w:ascii="Bookman Old Style" w:hAnsi="Bookman Old Style"/>
          <w:sz w:val="28"/>
          <w:szCs w:val="28"/>
          <w:lang w:val="el-GR"/>
        </w:rPr>
        <w:t xml:space="preserve">πως </w:t>
      </w:r>
      <w:r w:rsidR="003372D0">
        <w:rPr>
          <w:rFonts w:ascii="Bookman Old Style" w:hAnsi="Bookman Old Style"/>
          <w:sz w:val="28"/>
          <w:szCs w:val="28"/>
          <w:lang w:val="el-GR"/>
        </w:rPr>
        <w:t xml:space="preserve">η αγωγή δεν επιδόθηκε ούτε και παραλήφθηκε από την Εφεσείουσα και </w:t>
      </w:r>
      <w:r w:rsidR="006654AA">
        <w:rPr>
          <w:rFonts w:ascii="Bookman Old Style" w:hAnsi="Bookman Old Style"/>
          <w:sz w:val="28"/>
          <w:szCs w:val="28"/>
          <w:lang w:val="el-GR"/>
        </w:rPr>
        <w:t xml:space="preserve">πως </w:t>
      </w:r>
      <w:r w:rsidR="003372D0">
        <w:rPr>
          <w:rFonts w:ascii="Bookman Old Style" w:hAnsi="Bookman Old Style"/>
          <w:sz w:val="28"/>
          <w:szCs w:val="28"/>
          <w:lang w:val="el-GR"/>
        </w:rPr>
        <w:t>σε περίπτωση που όντω</w:t>
      </w:r>
      <w:r w:rsidR="006654AA">
        <w:rPr>
          <w:rFonts w:ascii="Bookman Old Style" w:hAnsi="Bookman Old Style"/>
          <w:sz w:val="28"/>
          <w:szCs w:val="28"/>
          <w:lang w:val="el-GR"/>
        </w:rPr>
        <w:t>ς</w:t>
      </w:r>
      <w:r w:rsidR="003372D0">
        <w:rPr>
          <w:rFonts w:ascii="Bookman Old Style" w:hAnsi="Bookman Old Style"/>
          <w:sz w:val="28"/>
          <w:szCs w:val="28"/>
          <w:lang w:val="el-GR"/>
        </w:rPr>
        <w:t xml:space="preserve"> παρελήφθη από κάποιον υπάλληλο της, «</w:t>
      </w:r>
      <w:r w:rsidR="003372D0" w:rsidRPr="003372D0">
        <w:rPr>
          <w:rFonts w:ascii="Bookman Old Style" w:hAnsi="Bookman Old Style"/>
          <w:i/>
          <w:iCs/>
          <w:sz w:val="28"/>
          <w:szCs w:val="28"/>
          <w:lang w:val="el-GR"/>
        </w:rPr>
        <w:t>εξουσιοδοτημένο ή μη, αρμόδιο ή όχι να παραλαμβάνει έγγραφα</w:t>
      </w:r>
      <w:r w:rsidR="003372D0">
        <w:rPr>
          <w:rFonts w:ascii="Bookman Old Style" w:hAnsi="Bookman Old Style"/>
          <w:sz w:val="28"/>
          <w:szCs w:val="28"/>
          <w:lang w:val="el-GR"/>
        </w:rPr>
        <w:t xml:space="preserve">», </w:t>
      </w:r>
      <w:r w:rsidR="00A13A35">
        <w:rPr>
          <w:rFonts w:ascii="Bookman Old Style" w:hAnsi="Bookman Old Style"/>
          <w:sz w:val="28"/>
          <w:szCs w:val="28"/>
          <w:lang w:val="el-GR"/>
        </w:rPr>
        <w:t xml:space="preserve">αυτός δεν ειδοποίησε την Εφεσείουσα για να λάβει εγκαίρως τα απαραίτητα μέτρα, διορίσει δικηγόρο και εμφανιστεί στην αγωγή. Σύμφωνα με την ενόρκως δηλούσα, η πρώτη φορά που η Εφεσείουσα ενημερώθηκε για την αγωγή και την έκδοση απόφασης εναντίον της ήταν μέσω της επιστολής ημερ. 25.5.2014 την οποία οι δικηγόροι της Εφεσίβλητης απέστειλαν σε αυτή. </w:t>
      </w:r>
    </w:p>
    <w:p w14:paraId="65F09410" w14:textId="6EE555D7" w:rsidR="004F1C86" w:rsidRDefault="00A13A35" w:rsidP="00D6280F">
      <w:pPr>
        <w:spacing w:before="240" w:line="480" w:lineRule="auto"/>
        <w:ind w:firstLine="567"/>
        <w:jc w:val="both"/>
        <w:rPr>
          <w:rFonts w:ascii="Bookman Old Style" w:hAnsi="Bookman Old Style" w:cs="Arial"/>
          <w:sz w:val="28"/>
          <w:szCs w:val="28"/>
          <w:lang w:val="el-GR"/>
        </w:rPr>
      </w:pPr>
      <w:r>
        <w:rPr>
          <w:rFonts w:ascii="Bookman Old Style" w:hAnsi="Bookman Old Style"/>
          <w:sz w:val="28"/>
          <w:szCs w:val="28"/>
          <w:lang w:val="el-GR"/>
        </w:rPr>
        <w:t xml:space="preserve">Είναι γνωστό ότι διαζευκτικοί ισχυρισμοί ως προς γεγονότα δεν </w:t>
      </w:r>
      <w:r w:rsidR="002F2F37">
        <w:rPr>
          <w:rFonts w:ascii="Bookman Old Style" w:hAnsi="Bookman Old Style"/>
          <w:sz w:val="28"/>
          <w:szCs w:val="28"/>
          <w:lang w:val="el-GR"/>
        </w:rPr>
        <w:t xml:space="preserve">επιτρέπονται </w:t>
      </w:r>
      <w:r>
        <w:rPr>
          <w:rFonts w:ascii="Bookman Old Style" w:hAnsi="Bookman Old Style"/>
          <w:sz w:val="28"/>
          <w:szCs w:val="28"/>
          <w:lang w:val="el-GR"/>
        </w:rPr>
        <w:t xml:space="preserve">σε ένορκη δήλωση </w:t>
      </w:r>
      <w:r w:rsidR="00B061AB">
        <w:rPr>
          <w:rFonts w:ascii="Bookman Old Style" w:hAnsi="Bookman Old Style"/>
          <w:sz w:val="28"/>
          <w:szCs w:val="28"/>
          <w:lang w:val="el-GR"/>
        </w:rPr>
        <w:t>(</w:t>
      </w:r>
      <w:r w:rsidR="00B061AB" w:rsidRPr="00B061AB">
        <w:rPr>
          <w:rFonts w:ascii="Bookman Old Style" w:hAnsi="Bookman Old Style"/>
          <w:sz w:val="28"/>
          <w:szCs w:val="28"/>
          <w:lang w:val="el-GR"/>
        </w:rPr>
        <w:t xml:space="preserve">βλ. </w:t>
      </w:r>
      <w:r w:rsidR="00B061AB" w:rsidRPr="00B061AB">
        <w:rPr>
          <w:rFonts w:ascii="Bookman Old Style" w:hAnsi="Bookman Old Style" w:cs="Arial"/>
          <w:b/>
          <w:i/>
          <w:iCs/>
          <w:sz w:val="28"/>
          <w:szCs w:val="28"/>
        </w:rPr>
        <w:t>El</w:t>
      </w:r>
      <w:r w:rsidR="00B061AB" w:rsidRPr="00E742F1">
        <w:rPr>
          <w:rFonts w:ascii="Bookman Old Style" w:hAnsi="Bookman Old Style" w:cs="Arial"/>
          <w:b/>
          <w:i/>
          <w:iCs/>
          <w:sz w:val="28"/>
          <w:szCs w:val="28"/>
        </w:rPr>
        <w:t xml:space="preserve"> </w:t>
      </w:r>
      <w:r w:rsidR="00B061AB" w:rsidRPr="00B061AB">
        <w:rPr>
          <w:rFonts w:ascii="Bookman Old Style" w:hAnsi="Bookman Old Style" w:cs="Arial"/>
          <w:b/>
          <w:i/>
          <w:iCs/>
          <w:sz w:val="28"/>
          <w:szCs w:val="28"/>
        </w:rPr>
        <w:t>Fath</w:t>
      </w:r>
      <w:r w:rsidR="00B061AB" w:rsidRPr="00E742F1">
        <w:rPr>
          <w:rFonts w:ascii="Bookman Old Style" w:hAnsi="Bookman Old Style" w:cs="Arial"/>
          <w:b/>
          <w:i/>
          <w:iCs/>
          <w:sz w:val="28"/>
          <w:szCs w:val="28"/>
        </w:rPr>
        <w:t xml:space="preserve"> </w:t>
      </w:r>
      <w:r w:rsidR="00B061AB" w:rsidRPr="00B061AB">
        <w:rPr>
          <w:rFonts w:ascii="Bookman Old Style" w:hAnsi="Bookman Old Style" w:cs="Arial"/>
          <w:b/>
          <w:i/>
          <w:iCs/>
          <w:sz w:val="28"/>
          <w:szCs w:val="28"/>
        </w:rPr>
        <w:t>Co</w:t>
      </w:r>
      <w:r w:rsidR="00B061AB" w:rsidRPr="00E742F1">
        <w:rPr>
          <w:rFonts w:ascii="Bookman Old Style" w:hAnsi="Bookman Old Style" w:cs="Arial"/>
          <w:b/>
          <w:i/>
          <w:iCs/>
          <w:sz w:val="28"/>
          <w:szCs w:val="28"/>
        </w:rPr>
        <w:t xml:space="preserve"> </w:t>
      </w:r>
      <w:r w:rsidR="00B061AB" w:rsidRPr="00B061AB">
        <w:rPr>
          <w:rFonts w:ascii="Bookman Old Style" w:hAnsi="Bookman Old Style" w:cs="Arial"/>
          <w:b/>
          <w:i/>
          <w:iCs/>
          <w:sz w:val="28"/>
          <w:szCs w:val="28"/>
        </w:rPr>
        <w:t>v</w:t>
      </w:r>
      <w:r w:rsidR="00B061AB" w:rsidRPr="00E742F1">
        <w:rPr>
          <w:rFonts w:ascii="Bookman Old Style" w:hAnsi="Bookman Old Style" w:cs="Arial"/>
          <w:b/>
          <w:i/>
          <w:iCs/>
          <w:sz w:val="28"/>
          <w:szCs w:val="28"/>
        </w:rPr>
        <w:t xml:space="preserve">. </w:t>
      </w:r>
      <w:r w:rsidR="00B061AB" w:rsidRPr="00B061AB">
        <w:rPr>
          <w:rFonts w:ascii="Bookman Old Style" w:hAnsi="Bookman Old Style" w:cs="Arial"/>
          <w:b/>
          <w:i/>
          <w:iCs/>
          <w:sz w:val="28"/>
          <w:szCs w:val="28"/>
        </w:rPr>
        <w:t>E</w:t>
      </w:r>
      <w:r w:rsidR="00B061AB" w:rsidRPr="00E742F1">
        <w:rPr>
          <w:rFonts w:ascii="Bookman Old Style" w:hAnsi="Bookman Old Style" w:cs="Arial"/>
          <w:b/>
          <w:i/>
          <w:iCs/>
          <w:sz w:val="28"/>
          <w:szCs w:val="28"/>
        </w:rPr>
        <w:t>.</w:t>
      </w:r>
      <w:r w:rsidR="00B061AB" w:rsidRPr="00B061AB">
        <w:rPr>
          <w:rFonts w:ascii="Bookman Old Style" w:hAnsi="Bookman Old Style" w:cs="Arial"/>
          <w:b/>
          <w:i/>
          <w:iCs/>
          <w:sz w:val="28"/>
          <w:szCs w:val="28"/>
        </w:rPr>
        <w:t>D</w:t>
      </w:r>
      <w:r w:rsidR="00B061AB" w:rsidRPr="00E742F1">
        <w:rPr>
          <w:rFonts w:ascii="Bookman Old Style" w:hAnsi="Bookman Old Style" w:cs="Arial"/>
          <w:b/>
          <w:i/>
          <w:iCs/>
          <w:sz w:val="28"/>
          <w:szCs w:val="28"/>
        </w:rPr>
        <w:t>.</w:t>
      </w:r>
      <w:r w:rsidR="00B061AB" w:rsidRPr="00B061AB">
        <w:rPr>
          <w:rFonts w:ascii="Bookman Old Style" w:hAnsi="Bookman Old Style" w:cs="Arial"/>
          <w:b/>
          <w:i/>
          <w:iCs/>
          <w:sz w:val="28"/>
          <w:szCs w:val="28"/>
        </w:rPr>
        <w:t>T</w:t>
      </w:r>
      <w:r w:rsidR="00B061AB" w:rsidRPr="00E742F1">
        <w:rPr>
          <w:rFonts w:ascii="Bookman Old Style" w:hAnsi="Bookman Old Style" w:cs="Arial"/>
          <w:b/>
          <w:i/>
          <w:iCs/>
          <w:sz w:val="28"/>
          <w:szCs w:val="28"/>
        </w:rPr>
        <w:t xml:space="preserve">. </w:t>
      </w:r>
      <w:r w:rsidR="00B061AB" w:rsidRPr="00B061AB">
        <w:rPr>
          <w:rFonts w:ascii="Bookman Old Style" w:hAnsi="Bookman Old Style" w:cs="Arial"/>
          <w:b/>
          <w:i/>
          <w:iCs/>
          <w:sz w:val="28"/>
          <w:szCs w:val="28"/>
        </w:rPr>
        <w:t>Shipping</w:t>
      </w:r>
      <w:r w:rsidR="00B061AB" w:rsidRPr="00E742F1">
        <w:rPr>
          <w:rFonts w:ascii="Bookman Old Style" w:hAnsi="Bookman Old Style" w:cs="Arial"/>
          <w:b/>
          <w:i/>
          <w:iCs/>
          <w:sz w:val="28"/>
          <w:szCs w:val="28"/>
        </w:rPr>
        <w:t xml:space="preserve"> </w:t>
      </w:r>
      <w:r w:rsidR="00B061AB" w:rsidRPr="00B061AB">
        <w:rPr>
          <w:rFonts w:ascii="Bookman Old Style" w:hAnsi="Bookman Old Style" w:cs="Arial"/>
          <w:b/>
          <w:i/>
          <w:iCs/>
          <w:sz w:val="28"/>
          <w:szCs w:val="28"/>
          <w:lang w:val="el-GR"/>
        </w:rPr>
        <w:t>κ</w:t>
      </w:r>
      <w:r w:rsidR="00B061AB" w:rsidRPr="00E742F1">
        <w:rPr>
          <w:rFonts w:ascii="Bookman Old Style" w:hAnsi="Bookman Old Style" w:cs="Arial"/>
          <w:b/>
          <w:i/>
          <w:iCs/>
          <w:sz w:val="28"/>
          <w:szCs w:val="28"/>
        </w:rPr>
        <w:t>.</w:t>
      </w:r>
      <w:r w:rsidR="00B061AB" w:rsidRPr="00B061AB">
        <w:rPr>
          <w:rFonts w:ascii="Bookman Old Style" w:hAnsi="Bookman Old Style" w:cs="Arial"/>
          <w:b/>
          <w:i/>
          <w:iCs/>
          <w:sz w:val="28"/>
          <w:szCs w:val="28"/>
          <w:lang w:val="el-GR"/>
        </w:rPr>
        <w:t>ά</w:t>
      </w:r>
      <w:r w:rsidR="00B061AB" w:rsidRPr="00E742F1">
        <w:rPr>
          <w:rFonts w:ascii="Bookman Old Style" w:hAnsi="Bookman Old Style" w:cs="Arial"/>
          <w:b/>
          <w:i/>
          <w:iCs/>
          <w:sz w:val="28"/>
          <w:szCs w:val="28"/>
        </w:rPr>
        <w:t>. (1992) 1(</w:t>
      </w:r>
      <w:r w:rsidR="00B061AB" w:rsidRPr="00B061AB">
        <w:rPr>
          <w:rFonts w:ascii="Bookman Old Style" w:hAnsi="Bookman Old Style" w:cs="Arial"/>
          <w:b/>
          <w:i/>
          <w:iCs/>
          <w:sz w:val="28"/>
          <w:szCs w:val="28"/>
          <w:lang w:val="el-GR"/>
        </w:rPr>
        <w:t>Β</w:t>
      </w:r>
      <w:r w:rsidR="00B061AB" w:rsidRPr="00E742F1">
        <w:rPr>
          <w:rFonts w:ascii="Bookman Old Style" w:hAnsi="Bookman Old Style" w:cs="Arial"/>
          <w:b/>
          <w:i/>
          <w:iCs/>
          <w:sz w:val="28"/>
          <w:szCs w:val="28"/>
        </w:rPr>
        <w:t xml:space="preserve">) </w:t>
      </w:r>
      <w:r w:rsidR="00B061AB" w:rsidRPr="00B061AB">
        <w:rPr>
          <w:rFonts w:ascii="Bookman Old Style" w:hAnsi="Bookman Old Style" w:cs="Arial"/>
          <w:b/>
          <w:i/>
          <w:iCs/>
          <w:sz w:val="28"/>
          <w:szCs w:val="28"/>
          <w:lang w:val="el-GR"/>
        </w:rPr>
        <w:t>Α</w:t>
      </w:r>
      <w:r w:rsidR="00B061AB" w:rsidRPr="00E742F1">
        <w:rPr>
          <w:rFonts w:ascii="Bookman Old Style" w:hAnsi="Bookman Old Style" w:cs="Arial"/>
          <w:b/>
          <w:i/>
          <w:iCs/>
          <w:sz w:val="28"/>
          <w:szCs w:val="28"/>
        </w:rPr>
        <w:t>.</w:t>
      </w:r>
      <w:r w:rsidR="00B061AB" w:rsidRPr="00B061AB">
        <w:rPr>
          <w:rFonts w:ascii="Bookman Old Style" w:hAnsi="Bookman Old Style" w:cs="Arial"/>
          <w:b/>
          <w:i/>
          <w:iCs/>
          <w:sz w:val="28"/>
          <w:szCs w:val="28"/>
          <w:lang w:val="el-GR"/>
        </w:rPr>
        <w:t>Α</w:t>
      </w:r>
      <w:r w:rsidR="00B061AB" w:rsidRPr="00E742F1">
        <w:rPr>
          <w:rFonts w:ascii="Bookman Old Style" w:hAnsi="Bookman Old Style" w:cs="Arial"/>
          <w:b/>
          <w:i/>
          <w:iCs/>
          <w:sz w:val="28"/>
          <w:szCs w:val="28"/>
        </w:rPr>
        <w:t>.</w:t>
      </w:r>
      <w:r w:rsidR="00B061AB" w:rsidRPr="00B061AB">
        <w:rPr>
          <w:rFonts w:ascii="Bookman Old Style" w:hAnsi="Bookman Old Style" w:cs="Arial"/>
          <w:b/>
          <w:i/>
          <w:iCs/>
          <w:sz w:val="28"/>
          <w:szCs w:val="28"/>
          <w:lang w:val="el-GR"/>
        </w:rPr>
        <w:t>Δ</w:t>
      </w:r>
      <w:r w:rsidR="00B061AB" w:rsidRPr="00E742F1">
        <w:rPr>
          <w:rFonts w:ascii="Bookman Old Style" w:hAnsi="Bookman Old Style" w:cs="Arial"/>
          <w:b/>
          <w:i/>
          <w:iCs/>
          <w:sz w:val="28"/>
          <w:szCs w:val="28"/>
        </w:rPr>
        <w:t>. 1255</w:t>
      </w:r>
      <w:r w:rsidR="00B061AB" w:rsidRPr="00E742F1">
        <w:rPr>
          <w:rFonts w:ascii="Bookman Old Style" w:hAnsi="Bookman Old Style" w:cs="Arial"/>
          <w:sz w:val="28"/>
          <w:szCs w:val="28"/>
        </w:rPr>
        <w:t xml:space="preserve">). </w:t>
      </w:r>
      <w:r w:rsidR="00393E84">
        <w:rPr>
          <w:rFonts w:ascii="Bookman Old Style" w:hAnsi="Bookman Old Style" w:cs="Arial"/>
          <w:sz w:val="28"/>
          <w:szCs w:val="28"/>
          <w:lang w:val="el-GR"/>
        </w:rPr>
        <w:t xml:space="preserve">Επομένως, </w:t>
      </w:r>
      <w:r w:rsidR="009F69EC">
        <w:rPr>
          <w:rFonts w:ascii="Bookman Old Style" w:hAnsi="Bookman Old Style" w:cs="Arial"/>
          <w:sz w:val="28"/>
          <w:szCs w:val="28"/>
          <w:lang w:val="el-GR"/>
        </w:rPr>
        <w:t xml:space="preserve">ενώπιον του πρωτόδικου </w:t>
      </w:r>
      <w:r w:rsidR="009F69EC">
        <w:rPr>
          <w:rFonts w:ascii="Bookman Old Style" w:hAnsi="Bookman Old Style" w:cs="Arial"/>
          <w:sz w:val="28"/>
          <w:szCs w:val="28"/>
          <w:lang w:val="el-GR"/>
        </w:rPr>
        <w:lastRenderedPageBreak/>
        <w:t>Δικαστηρίου προβλήθηκαν δύο διαζευκτικές και αντιφατικές εκδοχές</w:t>
      </w:r>
      <w:r w:rsidR="00B73251">
        <w:rPr>
          <w:rFonts w:ascii="Bookman Old Style" w:hAnsi="Bookman Old Style" w:cs="Arial"/>
          <w:sz w:val="28"/>
          <w:szCs w:val="28"/>
          <w:lang w:val="el-GR"/>
        </w:rPr>
        <w:t>.</w:t>
      </w:r>
      <w:r w:rsidR="009F69EC">
        <w:rPr>
          <w:rFonts w:ascii="Bookman Old Style" w:hAnsi="Bookman Old Style" w:cs="Arial"/>
          <w:sz w:val="28"/>
          <w:szCs w:val="28"/>
          <w:lang w:val="el-GR"/>
        </w:rPr>
        <w:t xml:space="preserve"> </w:t>
      </w:r>
      <w:r w:rsidR="00B73251">
        <w:rPr>
          <w:rFonts w:ascii="Bookman Old Style" w:hAnsi="Bookman Old Style" w:cs="Arial"/>
          <w:sz w:val="28"/>
          <w:szCs w:val="28"/>
          <w:lang w:val="el-GR"/>
        </w:rPr>
        <w:t xml:space="preserve">Συγκεκριμένα προβλήθηκε η θέση ότι δεν έγινε επίδοση </w:t>
      </w:r>
      <w:r w:rsidR="009F69EC">
        <w:rPr>
          <w:rFonts w:ascii="Bookman Old Style" w:hAnsi="Bookman Old Style" w:cs="Arial"/>
          <w:sz w:val="28"/>
          <w:szCs w:val="28"/>
          <w:lang w:val="el-GR"/>
        </w:rPr>
        <w:t xml:space="preserve">σε οποιονδήποτε </w:t>
      </w:r>
      <w:r w:rsidR="00B73251">
        <w:rPr>
          <w:rFonts w:ascii="Bookman Old Style" w:hAnsi="Bookman Old Style" w:cs="Arial"/>
          <w:sz w:val="28"/>
          <w:szCs w:val="28"/>
          <w:lang w:val="el-GR"/>
        </w:rPr>
        <w:t>για την εταιρεία</w:t>
      </w:r>
      <w:r w:rsidR="002F2F37">
        <w:rPr>
          <w:rFonts w:ascii="Bookman Old Style" w:hAnsi="Bookman Old Style" w:cs="Arial"/>
          <w:sz w:val="28"/>
          <w:szCs w:val="28"/>
          <w:lang w:val="el-GR"/>
        </w:rPr>
        <w:t>,</w:t>
      </w:r>
      <w:r w:rsidR="00B73251">
        <w:rPr>
          <w:rFonts w:ascii="Bookman Old Style" w:hAnsi="Bookman Old Style" w:cs="Arial"/>
          <w:sz w:val="28"/>
          <w:szCs w:val="28"/>
          <w:lang w:val="el-GR"/>
        </w:rPr>
        <w:t xml:space="preserve"> ενώ από την άλλη προβλήθηκε η θέση ότι έγινε </w:t>
      </w:r>
      <w:r w:rsidR="009F69EC">
        <w:rPr>
          <w:rFonts w:ascii="Bookman Old Style" w:hAnsi="Bookman Old Style" w:cs="Arial"/>
          <w:sz w:val="28"/>
          <w:szCs w:val="28"/>
          <w:lang w:val="el-GR"/>
        </w:rPr>
        <w:t xml:space="preserve">επίδοση αλλά </w:t>
      </w:r>
      <w:r w:rsidR="00B73251">
        <w:rPr>
          <w:rFonts w:ascii="Bookman Old Style" w:hAnsi="Bookman Old Style" w:cs="Arial"/>
          <w:sz w:val="28"/>
          <w:szCs w:val="28"/>
          <w:lang w:val="el-GR"/>
        </w:rPr>
        <w:t>το πρόσωπο προς το οποίο έγινε</w:t>
      </w:r>
      <w:r w:rsidR="00D50318">
        <w:rPr>
          <w:rFonts w:ascii="Bookman Old Style" w:hAnsi="Bookman Old Style" w:cs="Arial"/>
          <w:sz w:val="28"/>
          <w:szCs w:val="28"/>
          <w:lang w:val="el-GR"/>
        </w:rPr>
        <w:t xml:space="preserve">, </w:t>
      </w:r>
      <w:r w:rsidR="00B73251">
        <w:rPr>
          <w:rFonts w:ascii="Bookman Old Style" w:hAnsi="Bookman Old Style" w:cs="Arial"/>
          <w:sz w:val="28"/>
          <w:szCs w:val="28"/>
          <w:lang w:val="el-GR"/>
        </w:rPr>
        <w:t xml:space="preserve">παρέλειψε </w:t>
      </w:r>
      <w:r w:rsidR="009F69EC">
        <w:rPr>
          <w:rFonts w:ascii="Bookman Old Style" w:hAnsi="Bookman Old Style" w:cs="Arial"/>
          <w:sz w:val="28"/>
          <w:szCs w:val="28"/>
          <w:lang w:val="el-GR"/>
        </w:rPr>
        <w:t xml:space="preserve">ενημερώσει σχετικά την εταιρεία. </w:t>
      </w:r>
      <w:r w:rsidR="002F2F37">
        <w:rPr>
          <w:rFonts w:ascii="Bookman Old Style" w:hAnsi="Bookman Old Style" w:cs="Arial"/>
          <w:sz w:val="28"/>
          <w:szCs w:val="28"/>
          <w:lang w:val="el-GR"/>
        </w:rPr>
        <w:t>Τ</w:t>
      </w:r>
      <w:r w:rsidR="000D6BEF">
        <w:rPr>
          <w:rFonts w:ascii="Bookman Old Style" w:hAnsi="Bookman Old Style" w:cs="Arial"/>
          <w:sz w:val="28"/>
          <w:szCs w:val="28"/>
          <w:lang w:val="el-GR"/>
        </w:rPr>
        <w:t xml:space="preserve">ο πρωτόδικο Δικαστήριο </w:t>
      </w:r>
      <w:r w:rsidR="002F2F37">
        <w:rPr>
          <w:rFonts w:ascii="Bookman Old Style" w:hAnsi="Bookman Old Style" w:cs="Arial"/>
          <w:sz w:val="28"/>
          <w:szCs w:val="28"/>
          <w:lang w:val="el-GR"/>
        </w:rPr>
        <w:t>απο</w:t>
      </w:r>
      <w:r w:rsidR="002D6777">
        <w:rPr>
          <w:rFonts w:ascii="Bookman Old Style" w:hAnsi="Bookman Old Style" w:cs="Arial"/>
          <w:sz w:val="28"/>
          <w:szCs w:val="28"/>
          <w:lang w:val="el-GR"/>
        </w:rPr>
        <w:t xml:space="preserve">δέχθηκε </w:t>
      </w:r>
      <w:r w:rsidR="00D60F79">
        <w:rPr>
          <w:rFonts w:ascii="Bookman Old Style" w:hAnsi="Bookman Old Style" w:cs="Arial"/>
          <w:sz w:val="28"/>
          <w:szCs w:val="28"/>
          <w:lang w:val="el-GR"/>
        </w:rPr>
        <w:t>ότι έγινε η</w:t>
      </w:r>
      <w:r w:rsidR="002D6777">
        <w:rPr>
          <w:rFonts w:ascii="Bookman Old Style" w:hAnsi="Bookman Old Style" w:cs="Arial"/>
          <w:sz w:val="28"/>
          <w:szCs w:val="28"/>
          <w:lang w:val="el-GR"/>
        </w:rPr>
        <w:t xml:space="preserve"> επίδοση η οποία επιμαρτυρείται με τη βεβαίωση και το πιστοποιητικό επίδοσης το οποίο εκδόθηκε σύμφωνα με τον </w:t>
      </w:r>
      <w:r w:rsidR="002D6777" w:rsidRPr="001A1C12">
        <w:rPr>
          <w:rFonts w:ascii="Bookman Old Style" w:hAnsi="Bookman Old Style" w:cs="Arial"/>
          <w:b/>
          <w:bCs/>
          <w:i/>
          <w:iCs/>
          <w:sz w:val="28"/>
          <w:szCs w:val="28"/>
          <w:lang w:val="el-GR"/>
        </w:rPr>
        <w:t xml:space="preserve">Κανονισμό </w:t>
      </w:r>
      <w:r w:rsidR="001A1C12" w:rsidRPr="001A1C12">
        <w:rPr>
          <w:rFonts w:ascii="Bookman Old Style" w:hAnsi="Bookman Old Style" w:cs="Arial"/>
          <w:b/>
          <w:bCs/>
          <w:i/>
          <w:iCs/>
          <w:sz w:val="28"/>
          <w:szCs w:val="28"/>
          <w:lang w:val="el-GR"/>
        </w:rPr>
        <w:t>(ΕΚ) αριθμ. 1393/2007 περί Επιδόσεως και Κοινοποιήσεως στα Κράτη Μέλη Δικαστικών και Εξωδίκων Πράξεων σε Αστικές ή Εμπορικές Υποθέσεις</w:t>
      </w:r>
      <w:r w:rsidR="00575930">
        <w:rPr>
          <w:rFonts w:ascii="Bookman Old Style" w:hAnsi="Bookman Old Style" w:cs="Arial"/>
          <w:b/>
          <w:bCs/>
          <w:i/>
          <w:iCs/>
          <w:sz w:val="28"/>
          <w:szCs w:val="28"/>
          <w:lang w:val="el-GR"/>
        </w:rPr>
        <w:t xml:space="preserve">, άρθρο 10(1) </w:t>
      </w:r>
      <w:r w:rsidR="00575930" w:rsidRPr="00575930">
        <w:rPr>
          <w:rFonts w:ascii="Bookman Old Style" w:hAnsi="Bookman Old Style" w:cs="Arial"/>
          <w:sz w:val="28"/>
          <w:szCs w:val="28"/>
          <w:lang w:val="el-GR"/>
        </w:rPr>
        <w:t>και</w:t>
      </w:r>
      <w:r w:rsidR="00575930">
        <w:rPr>
          <w:rFonts w:ascii="Bookman Old Style" w:hAnsi="Bookman Old Style" w:cs="Arial"/>
          <w:b/>
          <w:bCs/>
          <w:i/>
          <w:iCs/>
          <w:sz w:val="28"/>
          <w:szCs w:val="28"/>
          <w:lang w:val="el-GR"/>
        </w:rPr>
        <w:t xml:space="preserve"> Παράρτημα Ι</w:t>
      </w:r>
      <w:r w:rsidR="001A1C12" w:rsidRPr="001A1C12">
        <w:rPr>
          <w:rFonts w:ascii="Bookman Old Style" w:hAnsi="Bookman Old Style" w:cs="Arial"/>
          <w:sz w:val="28"/>
          <w:szCs w:val="28"/>
          <w:lang w:val="el-GR"/>
        </w:rPr>
        <w:t>.</w:t>
      </w:r>
      <w:r w:rsidR="001A1C12" w:rsidRPr="001A1C12">
        <w:rPr>
          <w:rFonts w:ascii="Bookman Old Style" w:hAnsi="Bookman Old Style" w:cs="Arial"/>
          <w:b/>
          <w:bCs/>
          <w:i/>
          <w:iCs/>
          <w:sz w:val="28"/>
          <w:szCs w:val="28"/>
          <w:lang w:val="el-GR"/>
        </w:rPr>
        <w:t xml:space="preserve"> </w:t>
      </w:r>
      <w:r w:rsidR="00B91CCA">
        <w:rPr>
          <w:rFonts w:ascii="Bookman Old Style" w:hAnsi="Bookman Old Style" w:cs="Arial"/>
          <w:sz w:val="28"/>
          <w:szCs w:val="28"/>
          <w:lang w:val="el-GR"/>
        </w:rPr>
        <w:t xml:space="preserve">Το πρωτόδικο Δικαστήριο ορθώς </w:t>
      </w:r>
      <w:r w:rsidR="000173F6">
        <w:rPr>
          <w:rFonts w:ascii="Bookman Old Style" w:hAnsi="Bookman Old Style" w:cs="Arial"/>
          <w:sz w:val="28"/>
          <w:szCs w:val="28"/>
          <w:lang w:val="el-GR"/>
        </w:rPr>
        <w:t>απο</w:t>
      </w:r>
      <w:r w:rsidR="00B91CCA">
        <w:rPr>
          <w:rFonts w:ascii="Bookman Old Style" w:hAnsi="Bookman Old Style" w:cs="Arial"/>
          <w:sz w:val="28"/>
          <w:szCs w:val="28"/>
          <w:lang w:val="el-GR"/>
        </w:rPr>
        <w:t xml:space="preserve">δέχθηκε το νομότυπο της επίδοσης εφόσον η επίδοση έγινε στην καθορισθείσα στο διάταγμα διεύθυνση της Εφεσείουσας και στον </w:t>
      </w:r>
      <w:r w:rsidR="008A20DC">
        <w:rPr>
          <w:rFonts w:ascii="Bookman Old Style" w:hAnsi="Bookman Old Style" w:cs="Arial"/>
          <w:sz w:val="28"/>
          <w:szCs w:val="28"/>
          <w:lang w:val="el-GR"/>
        </w:rPr>
        <w:t xml:space="preserve">εκεί ευρισκόμενο </w:t>
      </w:r>
      <w:r w:rsidR="00B91CCA">
        <w:rPr>
          <w:rFonts w:ascii="Bookman Old Style" w:hAnsi="Bookman Old Style" w:cs="Arial"/>
          <w:sz w:val="28"/>
          <w:szCs w:val="28"/>
          <w:lang w:val="el-GR"/>
        </w:rPr>
        <w:t xml:space="preserve">οικονομικό διευθυντή αυτής, προς συμμόρφωση με τη </w:t>
      </w:r>
      <w:r w:rsidR="00B91CCA" w:rsidRPr="00BC09A3">
        <w:rPr>
          <w:rFonts w:ascii="Bookman Old Style" w:hAnsi="Bookman Old Style" w:cs="Arial"/>
          <w:b/>
          <w:bCs/>
          <w:i/>
          <w:iCs/>
          <w:sz w:val="28"/>
          <w:szCs w:val="28"/>
          <w:lang w:val="el-GR"/>
        </w:rPr>
        <w:t xml:space="preserve">Δ.5 θ.7 </w:t>
      </w:r>
      <w:r w:rsidR="00B91CCA" w:rsidRPr="0017527D">
        <w:rPr>
          <w:rFonts w:ascii="Bookman Old Style" w:hAnsi="Bookman Old Style" w:cs="Arial"/>
          <w:sz w:val="28"/>
          <w:szCs w:val="28"/>
          <w:lang w:val="el-GR"/>
        </w:rPr>
        <w:t>των</w:t>
      </w:r>
      <w:r w:rsidR="00B91CCA" w:rsidRPr="00BC09A3">
        <w:rPr>
          <w:rFonts w:ascii="Bookman Old Style" w:hAnsi="Bookman Old Style" w:cs="Arial"/>
          <w:b/>
          <w:bCs/>
          <w:i/>
          <w:iCs/>
          <w:sz w:val="28"/>
          <w:szCs w:val="28"/>
          <w:lang w:val="el-GR"/>
        </w:rPr>
        <w:t xml:space="preserve"> περί Πολιτικής Δικονομίας Διαδικαστικών Κανονισμών</w:t>
      </w:r>
      <w:r w:rsidR="00B91CCA">
        <w:rPr>
          <w:rFonts w:ascii="Bookman Old Style" w:hAnsi="Bookman Old Style" w:cs="Arial"/>
          <w:sz w:val="28"/>
          <w:szCs w:val="28"/>
          <w:lang w:val="el-GR"/>
        </w:rPr>
        <w:t xml:space="preserve"> η οποία απαιτεί επίδοση σε νομικό πρόσωπο με την επίδοση αντιγράφου του κλητηρίου σε ανώτερο υπάλληλο ή άφεση αυτού στα γραφεία του οργανισμού. </w:t>
      </w:r>
    </w:p>
    <w:p w14:paraId="4D16D1BE" w14:textId="6F1B06A6" w:rsidR="00A67130" w:rsidRDefault="00BC09A3" w:rsidP="00D6280F">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Ως εκ τούτου</w:t>
      </w:r>
      <w:r w:rsidR="00BD0D9F">
        <w:rPr>
          <w:rFonts w:ascii="Bookman Old Style" w:hAnsi="Bookman Old Style" w:cs="Arial"/>
          <w:sz w:val="28"/>
          <w:szCs w:val="28"/>
          <w:lang w:val="el-GR"/>
        </w:rPr>
        <w:t xml:space="preserve">, θεωρούμε ότι το πρωτόδικο Δικαστήριο αξιολόγησε ορθώς την ενώπιον του μαρτυρία στο πλαίσιο της αίτησης </w:t>
      </w:r>
      <w:r w:rsidR="00BD0D9F">
        <w:rPr>
          <w:rFonts w:ascii="Bookman Old Style" w:hAnsi="Bookman Old Style" w:cs="Arial"/>
          <w:sz w:val="28"/>
          <w:szCs w:val="28"/>
          <w:lang w:val="el-GR"/>
        </w:rPr>
        <w:lastRenderedPageBreak/>
        <w:t>παραμερισμού. Στην απόφαση του το πρωτόδικο Δικαστήριο παρέθεσε τους ανωτέρω ισχυρισμούς της Εφεσείουσας αναφορικά με το θέμα της επίδοσης της αγωγής και το πότε έλαβε γνώση γι’ αυτή, ως επίσης και τους αντίστοιχους ισχυρισμούς της άλλης πλευράς, και αφού έλαβε υπόψιν τα ενώπιον του δεδομένα</w:t>
      </w:r>
      <w:r w:rsidR="000173F6">
        <w:rPr>
          <w:rFonts w:ascii="Bookman Old Style" w:hAnsi="Bookman Old Style" w:cs="Arial"/>
          <w:sz w:val="28"/>
          <w:szCs w:val="28"/>
          <w:lang w:val="el-GR"/>
        </w:rPr>
        <w:t>,</w:t>
      </w:r>
      <w:r w:rsidR="00BD0D9F">
        <w:rPr>
          <w:rFonts w:ascii="Bookman Old Style" w:hAnsi="Bookman Old Style" w:cs="Arial"/>
          <w:sz w:val="28"/>
          <w:szCs w:val="28"/>
          <w:lang w:val="el-GR"/>
        </w:rPr>
        <w:t xml:space="preserve"> ορθώς κατέληξε ότι η επίδοση είχε γίνει νομότυπα και κανονικά. </w:t>
      </w:r>
    </w:p>
    <w:p w14:paraId="1B6A22CA" w14:textId="4A9FFD90" w:rsidR="008F3771" w:rsidRDefault="00D5599C" w:rsidP="00D6280F">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Αυτή η διαπίστωση</w:t>
      </w:r>
      <w:r w:rsidR="00AD518D">
        <w:rPr>
          <w:rFonts w:ascii="Bookman Old Style" w:hAnsi="Bookman Old Style" w:cs="Arial"/>
          <w:sz w:val="28"/>
          <w:szCs w:val="28"/>
          <w:lang w:val="el-GR"/>
        </w:rPr>
        <w:t>,</w:t>
      </w:r>
      <w:r>
        <w:rPr>
          <w:rFonts w:ascii="Bookman Old Style" w:hAnsi="Bookman Old Style" w:cs="Arial"/>
          <w:sz w:val="28"/>
          <w:szCs w:val="28"/>
          <w:lang w:val="el-GR"/>
        </w:rPr>
        <w:t xml:space="preserve"> περί του νομότυπου της επίδοσης</w:t>
      </w:r>
      <w:r w:rsidR="00AD518D">
        <w:rPr>
          <w:rFonts w:ascii="Bookman Old Style" w:hAnsi="Bookman Old Style" w:cs="Arial"/>
          <w:sz w:val="28"/>
          <w:szCs w:val="28"/>
          <w:lang w:val="el-GR"/>
        </w:rPr>
        <w:t>,</w:t>
      </w:r>
      <w:r>
        <w:rPr>
          <w:rFonts w:ascii="Bookman Old Style" w:hAnsi="Bookman Old Style" w:cs="Arial"/>
          <w:sz w:val="28"/>
          <w:szCs w:val="28"/>
          <w:lang w:val="el-GR"/>
        </w:rPr>
        <w:t xml:space="preserve"> δεν παρ</w:t>
      </w:r>
      <w:r w:rsidR="00A516DE">
        <w:rPr>
          <w:rFonts w:ascii="Bookman Old Style" w:hAnsi="Bookman Old Style" w:cs="Arial"/>
          <w:sz w:val="28"/>
          <w:szCs w:val="28"/>
          <w:lang w:val="el-GR"/>
        </w:rPr>
        <w:t>εί</w:t>
      </w:r>
      <w:r>
        <w:rPr>
          <w:rFonts w:ascii="Bookman Old Style" w:hAnsi="Bookman Old Style" w:cs="Arial"/>
          <w:sz w:val="28"/>
          <w:szCs w:val="28"/>
          <w:lang w:val="el-GR"/>
        </w:rPr>
        <w:t xml:space="preserve">χε εξουσία στο πρωτόδικο Δικαστήριο </w:t>
      </w:r>
      <w:r w:rsidR="00A516DE">
        <w:rPr>
          <w:rFonts w:ascii="Bookman Old Style" w:hAnsi="Bookman Old Style" w:cs="Arial"/>
          <w:sz w:val="28"/>
          <w:szCs w:val="28"/>
          <w:lang w:val="el-GR"/>
        </w:rPr>
        <w:t xml:space="preserve">να παραμερίσει δίχως άλλο την επίδοση </w:t>
      </w:r>
      <w:r w:rsidR="00A516DE" w:rsidRPr="00A516DE">
        <w:rPr>
          <w:rFonts w:ascii="Bookman Old Style" w:hAnsi="Bookman Old Style" w:cs="Arial"/>
          <w:i/>
          <w:iCs/>
          <w:sz w:val="28"/>
          <w:szCs w:val="28"/>
        </w:rPr>
        <w:t>ex</w:t>
      </w:r>
      <w:r w:rsidR="00A516DE" w:rsidRPr="00A516DE">
        <w:rPr>
          <w:rFonts w:ascii="Bookman Old Style" w:hAnsi="Bookman Old Style" w:cs="Arial"/>
          <w:i/>
          <w:iCs/>
          <w:sz w:val="28"/>
          <w:szCs w:val="28"/>
          <w:lang w:val="el-GR"/>
        </w:rPr>
        <w:t xml:space="preserve"> </w:t>
      </w:r>
      <w:r w:rsidR="00A516DE" w:rsidRPr="00A516DE">
        <w:rPr>
          <w:rFonts w:ascii="Bookman Old Style" w:hAnsi="Bookman Old Style" w:cs="Arial"/>
          <w:i/>
          <w:iCs/>
          <w:sz w:val="28"/>
          <w:szCs w:val="28"/>
        </w:rPr>
        <w:t>debito</w:t>
      </w:r>
      <w:r w:rsidR="00A516DE" w:rsidRPr="00A516DE">
        <w:rPr>
          <w:rFonts w:ascii="Bookman Old Style" w:hAnsi="Bookman Old Style" w:cs="Arial"/>
          <w:i/>
          <w:iCs/>
          <w:sz w:val="28"/>
          <w:szCs w:val="28"/>
          <w:lang w:val="el-GR"/>
        </w:rPr>
        <w:t xml:space="preserve"> </w:t>
      </w:r>
      <w:r w:rsidR="00A516DE" w:rsidRPr="00A516DE">
        <w:rPr>
          <w:rFonts w:ascii="Bookman Old Style" w:hAnsi="Bookman Old Style" w:cs="Arial"/>
          <w:i/>
          <w:iCs/>
          <w:sz w:val="28"/>
          <w:szCs w:val="28"/>
        </w:rPr>
        <w:t>justitiae</w:t>
      </w:r>
      <w:r w:rsidR="00A516DE" w:rsidRPr="00A516DE">
        <w:rPr>
          <w:rFonts w:ascii="Bookman Old Style" w:hAnsi="Bookman Old Style" w:cs="Arial"/>
          <w:sz w:val="28"/>
          <w:szCs w:val="28"/>
          <w:lang w:val="el-GR"/>
        </w:rPr>
        <w:t xml:space="preserve">, </w:t>
      </w:r>
      <w:r w:rsidR="00A516DE">
        <w:rPr>
          <w:rFonts w:ascii="Bookman Old Style" w:hAnsi="Bookman Old Style" w:cs="Arial"/>
          <w:sz w:val="28"/>
          <w:szCs w:val="28"/>
          <w:lang w:val="el-GR"/>
        </w:rPr>
        <w:t xml:space="preserve">ως η εισήγηση της Εφεσείουσας. </w:t>
      </w:r>
      <w:r w:rsidR="008F3771">
        <w:rPr>
          <w:rFonts w:ascii="Bookman Old Style" w:hAnsi="Bookman Old Style" w:cs="Arial"/>
          <w:sz w:val="28"/>
          <w:szCs w:val="28"/>
          <w:lang w:val="el-GR"/>
        </w:rPr>
        <w:t xml:space="preserve">Είναι νομολογιακά καθιερωμένο ότι </w:t>
      </w:r>
      <w:r w:rsidR="00AD518D">
        <w:rPr>
          <w:rFonts w:ascii="Bookman Old Style" w:hAnsi="Bookman Old Style" w:cs="Arial"/>
          <w:sz w:val="28"/>
          <w:szCs w:val="28"/>
          <w:lang w:val="el-GR"/>
        </w:rPr>
        <w:t xml:space="preserve">μόνο </w:t>
      </w:r>
      <w:r w:rsidR="008F3771">
        <w:rPr>
          <w:rFonts w:ascii="Bookman Old Style" w:hAnsi="Bookman Old Style" w:cs="Arial"/>
          <w:sz w:val="28"/>
          <w:szCs w:val="28"/>
          <w:lang w:val="el-GR"/>
        </w:rPr>
        <w:t xml:space="preserve">όταν διαπιστώνεται ότι η επίδοση είναι κακή, το Δικαστήριο είναι υποχρεωμένο να παραμερίσει την απόφαση </w:t>
      </w:r>
      <w:r w:rsidR="008F3771" w:rsidRPr="00A516DE">
        <w:rPr>
          <w:rFonts w:ascii="Bookman Old Style" w:hAnsi="Bookman Old Style" w:cs="Arial"/>
          <w:i/>
          <w:iCs/>
          <w:sz w:val="28"/>
          <w:szCs w:val="28"/>
        </w:rPr>
        <w:t>ex</w:t>
      </w:r>
      <w:r w:rsidR="008F3771" w:rsidRPr="00A516DE">
        <w:rPr>
          <w:rFonts w:ascii="Bookman Old Style" w:hAnsi="Bookman Old Style" w:cs="Arial"/>
          <w:i/>
          <w:iCs/>
          <w:sz w:val="28"/>
          <w:szCs w:val="28"/>
          <w:lang w:val="el-GR"/>
        </w:rPr>
        <w:t xml:space="preserve"> </w:t>
      </w:r>
      <w:r w:rsidR="008F3771" w:rsidRPr="00A516DE">
        <w:rPr>
          <w:rFonts w:ascii="Bookman Old Style" w:hAnsi="Bookman Old Style" w:cs="Arial"/>
          <w:i/>
          <w:iCs/>
          <w:sz w:val="28"/>
          <w:szCs w:val="28"/>
        </w:rPr>
        <w:t>debito</w:t>
      </w:r>
      <w:r w:rsidR="008F3771" w:rsidRPr="00A516DE">
        <w:rPr>
          <w:rFonts w:ascii="Bookman Old Style" w:hAnsi="Bookman Old Style" w:cs="Arial"/>
          <w:i/>
          <w:iCs/>
          <w:sz w:val="28"/>
          <w:szCs w:val="28"/>
          <w:lang w:val="el-GR"/>
        </w:rPr>
        <w:t xml:space="preserve"> </w:t>
      </w:r>
      <w:r w:rsidR="008F3771" w:rsidRPr="00A516DE">
        <w:rPr>
          <w:rFonts w:ascii="Bookman Old Style" w:hAnsi="Bookman Old Style" w:cs="Arial"/>
          <w:i/>
          <w:iCs/>
          <w:sz w:val="28"/>
          <w:szCs w:val="28"/>
        </w:rPr>
        <w:t>justitiae</w:t>
      </w:r>
      <w:r w:rsidR="008F3771">
        <w:rPr>
          <w:rFonts w:ascii="Bookman Old Style" w:hAnsi="Bookman Old Style" w:cs="Arial"/>
          <w:i/>
          <w:iCs/>
          <w:sz w:val="28"/>
          <w:szCs w:val="28"/>
          <w:lang w:val="el-GR"/>
        </w:rPr>
        <w:t xml:space="preserve"> – βλ. </w:t>
      </w:r>
      <w:r w:rsidR="008F3771" w:rsidRPr="008F3771">
        <w:rPr>
          <w:rFonts w:ascii="Bookman Old Style" w:hAnsi="Bookman Old Style" w:cs="Arial"/>
          <w:b/>
          <w:bCs/>
          <w:i/>
          <w:iCs/>
          <w:sz w:val="28"/>
          <w:szCs w:val="28"/>
          <w:lang w:val="el-GR"/>
        </w:rPr>
        <w:t xml:space="preserve">Γιωργαλλίδης </w:t>
      </w:r>
      <w:r w:rsidR="008F3771" w:rsidRPr="008F3771">
        <w:rPr>
          <w:rFonts w:ascii="Bookman Old Style" w:hAnsi="Bookman Old Style" w:cs="Arial"/>
          <w:b/>
          <w:bCs/>
          <w:i/>
          <w:iCs/>
          <w:sz w:val="28"/>
          <w:szCs w:val="28"/>
        </w:rPr>
        <w:t>v</w:t>
      </w:r>
      <w:r w:rsidR="008F3771" w:rsidRPr="008F3771">
        <w:rPr>
          <w:rFonts w:ascii="Bookman Old Style" w:hAnsi="Bookman Old Style" w:cs="Arial"/>
          <w:b/>
          <w:bCs/>
          <w:i/>
          <w:iCs/>
          <w:sz w:val="28"/>
          <w:szCs w:val="28"/>
          <w:lang w:val="el-GR"/>
        </w:rPr>
        <w:t xml:space="preserve">. Χρίστου (1997) 1(Α) </w:t>
      </w:r>
      <w:r w:rsidR="008F3771">
        <w:rPr>
          <w:rFonts w:ascii="Bookman Old Style" w:hAnsi="Bookman Old Style" w:cs="Arial"/>
          <w:b/>
          <w:bCs/>
          <w:i/>
          <w:iCs/>
          <w:sz w:val="28"/>
          <w:szCs w:val="28"/>
          <w:lang w:val="el-GR"/>
        </w:rPr>
        <w:t xml:space="preserve">Α.Α.Δ. </w:t>
      </w:r>
      <w:r w:rsidR="008F3771" w:rsidRPr="008F3771">
        <w:rPr>
          <w:rFonts w:ascii="Bookman Old Style" w:hAnsi="Bookman Old Style" w:cs="Arial"/>
          <w:b/>
          <w:bCs/>
          <w:i/>
          <w:iCs/>
          <w:sz w:val="28"/>
          <w:szCs w:val="28"/>
          <w:lang w:val="el-GR"/>
        </w:rPr>
        <w:t>247</w:t>
      </w:r>
      <w:r w:rsidR="008F3771">
        <w:rPr>
          <w:rFonts w:ascii="Bookman Old Style" w:hAnsi="Bookman Old Style" w:cs="Arial"/>
          <w:sz w:val="28"/>
          <w:szCs w:val="28"/>
          <w:lang w:val="el-GR"/>
        </w:rPr>
        <w:t xml:space="preserve">. </w:t>
      </w:r>
    </w:p>
    <w:p w14:paraId="3CE5ED5D" w14:textId="3888F105" w:rsidR="00D5599C" w:rsidRPr="002E07B5" w:rsidRDefault="008F3771" w:rsidP="00D6280F">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Η</w:t>
      </w:r>
      <w:r w:rsidR="002E07B5" w:rsidRPr="002E07B5">
        <w:rPr>
          <w:rFonts w:ascii="Bookman Old Style" w:hAnsi="Bookman Old Style" w:cs="Arial"/>
          <w:sz w:val="28"/>
          <w:szCs w:val="28"/>
          <w:lang w:val="el-GR"/>
        </w:rPr>
        <w:t xml:space="preserve"> </w:t>
      </w:r>
      <w:r w:rsidR="002E07B5">
        <w:rPr>
          <w:rFonts w:ascii="Bookman Old Style" w:hAnsi="Bookman Old Style" w:cs="Arial"/>
          <w:sz w:val="28"/>
          <w:szCs w:val="28"/>
          <w:lang w:val="el-GR"/>
        </w:rPr>
        <w:t>υπόθεση</w:t>
      </w:r>
      <w:r w:rsidR="002E07B5" w:rsidRPr="002E07B5">
        <w:rPr>
          <w:rFonts w:ascii="Bookman Old Style" w:hAnsi="Bookman Old Style" w:cs="Arial"/>
          <w:sz w:val="28"/>
          <w:szCs w:val="28"/>
          <w:lang w:val="el-GR"/>
        </w:rPr>
        <w:t xml:space="preserve"> </w:t>
      </w:r>
      <w:r w:rsidR="002E07B5" w:rsidRPr="002E07B5">
        <w:rPr>
          <w:rFonts w:ascii="Bookman Old Style" w:hAnsi="Bookman Old Style" w:cs="Arial"/>
          <w:b/>
          <w:bCs/>
          <w:i/>
          <w:iCs/>
          <w:sz w:val="28"/>
          <w:szCs w:val="28"/>
        </w:rPr>
        <w:t>Balm</w:t>
      </w:r>
      <w:r w:rsidR="002E07B5" w:rsidRPr="002E07B5">
        <w:rPr>
          <w:rFonts w:ascii="Bookman Old Style" w:hAnsi="Bookman Old Style" w:cs="Arial"/>
          <w:b/>
          <w:bCs/>
          <w:i/>
          <w:iCs/>
          <w:sz w:val="28"/>
          <w:szCs w:val="28"/>
          <w:lang w:val="el-GR"/>
        </w:rPr>
        <w:t xml:space="preserve"> </w:t>
      </w:r>
      <w:r w:rsidR="002E07B5" w:rsidRPr="002E07B5">
        <w:rPr>
          <w:rFonts w:ascii="Bookman Old Style" w:hAnsi="Bookman Old Style" w:cs="Arial"/>
          <w:b/>
          <w:bCs/>
          <w:i/>
          <w:iCs/>
          <w:sz w:val="28"/>
          <w:szCs w:val="28"/>
        </w:rPr>
        <w:t>Maritime</w:t>
      </w:r>
      <w:r w:rsidR="002E07B5" w:rsidRPr="002E07B5">
        <w:rPr>
          <w:rFonts w:ascii="Bookman Old Style" w:hAnsi="Bookman Old Style" w:cs="Arial"/>
          <w:b/>
          <w:bCs/>
          <w:i/>
          <w:iCs/>
          <w:sz w:val="28"/>
          <w:szCs w:val="28"/>
          <w:lang w:val="el-GR"/>
        </w:rPr>
        <w:t xml:space="preserve"> </w:t>
      </w:r>
      <w:r w:rsidR="002E07B5" w:rsidRPr="002E07B5">
        <w:rPr>
          <w:rFonts w:ascii="Bookman Old Style" w:hAnsi="Bookman Old Style" w:cs="Arial"/>
          <w:b/>
          <w:bCs/>
          <w:i/>
          <w:iCs/>
          <w:sz w:val="28"/>
          <w:szCs w:val="28"/>
        </w:rPr>
        <w:t>Company</w:t>
      </w:r>
      <w:r w:rsidR="002E07B5" w:rsidRPr="002E07B5">
        <w:rPr>
          <w:rFonts w:ascii="Bookman Old Style" w:hAnsi="Bookman Old Style" w:cs="Arial"/>
          <w:b/>
          <w:bCs/>
          <w:i/>
          <w:iCs/>
          <w:sz w:val="28"/>
          <w:szCs w:val="28"/>
          <w:lang w:val="el-GR"/>
        </w:rPr>
        <w:t xml:space="preserve"> </w:t>
      </w:r>
      <w:r w:rsidR="002E07B5" w:rsidRPr="002E07B5">
        <w:rPr>
          <w:rFonts w:ascii="Bookman Old Style" w:hAnsi="Bookman Old Style" w:cs="Arial"/>
          <w:b/>
          <w:bCs/>
          <w:i/>
          <w:iCs/>
          <w:sz w:val="28"/>
          <w:szCs w:val="28"/>
        </w:rPr>
        <w:t>Limited</w:t>
      </w:r>
      <w:r w:rsidR="002E07B5" w:rsidRPr="002E07B5">
        <w:rPr>
          <w:rFonts w:ascii="Bookman Old Style" w:hAnsi="Bookman Old Style" w:cs="Arial"/>
          <w:b/>
          <w:bCs/>
          <w:i/>
          <w:iCs/>
          <w:sz w:val="28"/>
          <w:szCs w:val="28"/>
          <w:lang w:val="el-GR"/>
        </w:rPr>
        <w:t xml:space="preserve"> </w:t>
      </w:r>
      <w:r w:rsidR="002E07B5" w:rsidRPr="002E07B5">
        <w:rPr>
          <w:rFonts w:ascii="Bookman Old Style" w:hAnsi="Bookman Old Style" w:cs="Arial"/>
          <w:b/>
          <w:bCs/>
          <w:i/>
          <w:iCs/>
          <w:sz w:val="28"/>
          <w:szCs w:val="28"/>
        </w:rPr>
        <w:t>v</w:t>
      </w:r>
      <w:r w:rsidR="00E33F9D" w:rsidRPr="00E33F9D">
        <w:rPr>
          <w:rFonts w:ascii="Bookman Old Style" w:hAnsi="Bookman Old Style" w:cs="Arial"/>
          <w:b/>
          <w:bCs/>
          <w:i/>
          <w:iCs/>
          <w:sz w:val="28"/>
          <w:szCs w:val="28"/>
          <w:lang w:val="el-GR"/>
        </w:rPr>
        <w:t>.</w:t>
      </w:r>
      <w:r w:rsidR="002E07B5" w:rsidRPr="002E07B5">
        <w:rPr>
          <w:rFonts w:ascii="Bookman Old Style" w:hAnsi="Bookman Old Style" w:cs="Arial"/>
          <w:b/>
          <w:bCs/>
          <w:i/>
          <w:iCs/>
          <w:sz w:val="28"/>
          <w:szCs w:val="28"/>
          <w:lang w:val="el-GR"/>
        </w:rPr>
        <w:t xml:space="preserve"> </w:t>
      </w:r>
      <w:r w:rsidR="002E07B5" w:rsidRPr="002E07B5">
        <w:rPr>
          <w:rFonts w:ascii="Bookman Old Style" w:hAnsi="Bookman Old Style" w:cs="Arial"/>
          <w:b/>
          <w:bCs/>
          <w:i/>
          <w:iCs/>
          <w:sz w:val="28"/>
          <w:szCs w:val="28"/>
        </w:rPr>
        <w:t>Biochemie</w:t>
      </w:r>
      <w:r w:rsidR="002E07B5" w:rsidRPr="002E07B5">
        <w:rPr>
          <w:rFonts w:ascii="Bookman Old Style" w:hAnsi="Bookman Old Style" w:cs="Arial"/>
          <w:b/>
          <w:bCs/>
          <w:i/>
          <w:iCs/>
          <w:sz w:val="28"/>
          <w:szCs w:val="28"/>
          <w:lang w:val="el-GR"/>
        </w:rPr>
        <w:t xml:space="preserve"> </w:t>
      </w:r>
      <w:r w:rsidR="002E07B5" w:rsidRPr="002E07B5">
        <w:rPr>
          <w:rFonts w:ascii="Bookman Old Style" w:hAnsi="Bookman Old Style" w:cs="Arial"/>
          <w:b/>
          <w:bCs/>
          <w:i/>
          <w:iCs/>
          <w:sz w:val="28"/>
          <w:szCs w:val="28"/>
        </w:rPr>
        <w:t>R</w:t>
      </w:r>
      <w:r w:rsidR="002E07B5" w:rsidRPr="002E07B5">
        <w:rPr>
          <w:rFonts w:ascii="Bookman Old Style" w:hAnsi="Bookman Old Style" w:cs="Arial"/>
          <w:b/>
          <w:bCs/>
          <w:i/>
          <w:iCs/>
          <w:sz w:val="28"/>
          <w:szCs w:val="28"/>
          <w:lang w:val="el-GR"/>
        </w:rPr>
        <w:t>.</w:t>
      </w:r>
      <w:r w:rsidR="002E07B5" w:rsidRPr="002E07B5">
        <w:rPr>
          <w:rFonts w:ascii="Bookman Old Style" w:hAnsi="Bookman Old Style" w:cs="Arial"/>
          <w:b/>
          <w:bCs/>
          <w:i/>
          <w:iCs/>
          <w:sz w:val="28"/>
          <w:szCs w:val="28"/>
        </w:rPr>
        <w:t>O</w:t>
      </w:r>
      <w:r w:rsidR="002E07B5" w:rsidRPr="002E07B5">
        <w:rPr>
          <w:rFonts w:ascii="Bookman Old Style" w:hAnsi="Bookman Old Style" w:cs="Arial"/>
          <w:b/>
          <w:bCs/>
          <w:i/>
          <w:iCs/>
          <w:sz w:val="28"/>
          <w:szCs w:val="28"/>
          <w:lang w:val="el-GR"/>
        </w:rPr>
        <w:t>.</w:t>
      </w:r>
      <w:r w:rsidR="002E07B5" w:rsidRPr="002E07B5">
        <w:rPr>
          <w:rFonts w:ascii="Bookman Old Style" w:hAnsi="Bookman Old Style" w:cs="Arial"/>
          <w:b/>
          <w:bCs/>
          <w:i/>
          <w:iCs/>
          <w:sz w:val="28"/>
          <w:szCs w:val="28"/>
        </w:rPr>
        <w:t>S</w:t>
      </w:r>
      <w:r w:rsidR="002E07B5" w:rsidRPr="002E07B5">
        <w:rPr>
          <w:rFonts w:ascii="Bookman Old Style" w:hAnsi="Bookman Old Style" w:cs="Arial"/>
          <w:b/>
          <w:bCs/>
          <w:i/>
          <w:iCs/>
          <w:sz w:val="28"/>
          <w:szCs w:val="28"/>
          <w:lang w:val="el-GR"/>
        </w:rPr>
        <w:t>.</w:t>
      </w:r>
      <w:r w:rsidR="002E07B5" w:rsidRPr="002E07B5">
        <w:rPr>
          <w:rFonts w:ascii="Bookman Old Style" w:hAnsi="Bookman Old Style" w:cs="Arial"/>
          <w:b/>
          <w:bCs/>
          <w:i/>
          <w:iCs/>
          <w:sz w:val="28"/>
          <w:szCs w:val="28"/>
        </w:rPr>
        <w:t>E</w:t>
      </w:r>
      <w:r w:rsidR="002E07B5" w:rsidRPr="002E07B5">
        <w:rPr>
          <w:rFonts w:ascii="Bookman Old Style" w:hAnsi="Bookman Old Style" w:cs="Arial"/>
          <w:b/>
          <w:bCs/>
          <w:i/>
          <w:iCs/>
          <w:sz w:val="28"/>
          <w:szCs w:val="28"/>
          <w:lang w:val="el-GR"/>
        </w:rPr>
        <w:t xml:space="preserve">. </w:t>
      </w:r>
      <w:r w:rsidR="002E07B5" w:rsidRPr="002E07B5">
        <w:rPr>
          <w:rFonts w:ascii="Bookman Old Style" w:hAnsi="Bookman Old Style" w:cs="Arial"/>
          <w:b/>
          <w:bCs/>
          <w:i/>
          <w:iCs/>
          <w:sz w:val="28"/>
          <w:szCs w:val="28"/>
        </w:rPr>
        <w:t>Limited</w:t>
      </w:r>
      <w:r w:rsidR="002E07B5" w:rsidRPr="002E07B5">
        <w:rPr>
          <w:rFonts w:ascii="Bookman Old Style" w:hAnsi="Bookman Old Style" w:cs="Arial"/>
          <w:b/>
          <w:bCs/>
          <w:i/>
          <w:iCs/>
          <w:sz w:val="28"/>
          <w:szCs w:val="28"/>
          <w:lang w:val="el-GR"/>
        </w:rPr>
        <w:t xml:space="preserve"> (1990) 1</w:t>
      </w:r>
      <w:r w:rsidR="002E07B5" w:rsidRPr="002E07B5">
        <w:rPr>
          <w:rFonts w:ascii="Bookman Old Style" w:hAnsi="Bookman Old Style" w:cs="Arial"/>
          <w:b/>
          <w:bCs/>
          <w:i/>
          <w:iCs/>
          <w:sz w:val="28"/>
          <w:szCs w:val="28"/>
          <w:vertAlign w:val="superscript"/>
          <w:lang w:val="el-GR"/>
        </w:rPr>
        <w:t xml:space="preserve"> </w:t>
      </w:r>
      <w:r w:rsidR="002E07B5" w:rsidRPr="002E07B5">
        <w:rPr>
          <w:rFonts w:ascii="Bookman Old Style" w:hAnsi="Bookman Old Style" w:cs="Arial"/>
          <w:b/>
          <w:bCs/>
          <w:i/>
          <w:iCs/>
          <w:sz w:val="28"/>
          <w:szCs w:val="28"/>
          <w:lang w:val="el-GR"/>
        </w:rPr>
        <w:t>Α.Α.Δ. 602</w:t>
      </w:r>
      <w:r w:rsidR="002E07B5" w:rsidRPr="002E07B5">
        <w:rPr>
          <w:rFonts w:ascii="Bookman Old Style" w:hAnsi="Bookman Old Style" w:cs="Arial"/>
          <w:sz w:val="28"/>
          <w:szCs w:val="28"/>
          <w:lang w:val="el-GR"/>
        </w:rPr>
        <w:t xml:space="preserve">, </w:t>
      </w:r>
      <w:r w:rsidR="002E07B5">
        <w:rPr>
          <w:rFonts w:ascii="Bookman Old Style" w:hAnsi="Bookman Old Style" w:cs="Arial"/>
          <w:sz w:val="28"/>
          <w:szCs w:val="28"/>
          <w:lang w:val="el-GR"/>
        </w:rPr>
        <w:t>στην</w:t>
      </w:r>
      <w:r w:rsidR="002E07B5" w:rsidRPr="002E07B5">
        <w:rPr>
          <w:rFonts w:ascii="Bookman Old Style" w:hAnsi="Bookman Old Style" w:cs="Arial"/>
          <w:sz w:val="28"/>
          <w:szCs w:val="28"/>
          <w:lang w:val="el-GR"/>
        </w:rPr>
        <w:t xml:space="preserve"> </w:t>
      </w:r>
      <w:r w:rsidR="002E07B5">
        <w:rPr>
          <w:rFonts w:ascii="Bookman Old Style" w:hAnsi="Bookman Old Style" w:cs="Arial"/>
          <w:sz w:val="28"/>
          <w:szCs w:val="28"/>
          <w:lang w:val="el-GR"/>
        </w:rPr>
        <w:t>οποία</w:t>
      </w:r>
      <w:r w:rsidR="002E07B5" w:rsidRPr="002E07B5">
        <w:rPr>
          <w:rFonts w:ascii="Bookman Old Style" w:hAnsi="Bookman Old Style" w:cs="Arial"/>
          <w:sz w:val="28"/>
          <w:szCs w:val="28"/>
          <w:lang w:val="el-GR"/>
        </w:rPr>
        <w:t xml:space="preserve"> </w:t>
      </w:r>
      <w:r w:rsidR="002E07B5">
        <w:rPr>
          <w:rFonts w:ascii="Bookman Old Style" w:hAnsi="Bookman Old Style" w:cs="Arial"/>
          <w:sz w:val="28"/>
          <w:szCs w:val="28"/>
          <w:lang w:val="el-GR"/>
        </w:rPr>
        <w:t>παρέπεμψε</w:t>
      </w:r>
      <w:r w:rsidR="002E07B5" w:rsidRPr="002E07B5">
        <w:rPr>
          <w:rFonts w:ascii="Bookman Old Style" w:hAnsi="Bookman Old Style" w:cs="Arial"/>
          <w:sz w:val="28"/>
          <w:szCs w:val="28"/>
          <w:lang w:val="el-GR"/>
        </w:rPr>
        <w:t xml:space="preserve"> </w:t>
      </w:r>
      <w:r w:rsidR="002E07B5">
        <w:rPr>
          <w:rFonts w:ascii="Bookman Old Style" w:hAnsi="Bookman Old Style" w:cs="Arial"/>
          <w:sz w:val="28"/>
          <w:szCs w:val="28"/>
          <w:lang w:val="el-GR"/>
        </w:rPr>
        <w:t>ο δικηγόρος της Εφεσείουσας, δια</w:t>
      </w:r>
      <w:r w:rsidR="00AD518D">
        <w:rPr>
          <w:rFonts w:ascii="Bookman Old Style" w:hAnsi="Bookman Old Style" w:cs="Arial"/>
          <w:sz w:val="28"/>
          <w:szCs w:val="28"/>
          <w:lang w:val="el-GR"/>
        </w:rPr>
        <w:t>κρίνετα</w:t>
      </w:r>
      <w:r w:rsidR="002E07B5">
        <w:rPr>
          <w:rFonts w:ascii="Bookman Old Style" w:hAnsi="Bookman Old Style" w:cs="Arial"/>
          <w:sz w:val="28"/>
          <w:szCs w:val="28"/>
          <w:lang w:val="el-GR"/>
        </w:rPr>
        <w:t xml:space="preserve">ι από την υπό κρίση περίπτωση, καθότι σε εκείνη η επίδοση του κλητηρίου έγινε μεν στο εγγεγραμμένο γραφείο της εταιρείας η οποία όμως, εν γνώσει των εναγόντων, είχε αλλού τα γραφεία της και επιδόθηκε σε άγνωστο στην εταιρεία πρόσωπο, </w:t>
      </w:r>
      <w:r w:rsidR="00AD518D">
        <w:rPr>
          <w:rFonts w:ascii="Bookman Old Style" w:hAnsi="Bookman Old Style" w:cs="Arial"/>
          <w:sz w:val="28"/>
          <w:szCs w:val="28"/>
          <w:lang w:val="el-GR"/>
        </w:rPr>
        <w:t xml:space="preserve">με </w:t>
      </w:r>
      <w:r w:rsidR="00AD518D">
        <w:rPr>
          <w:rFonts w:ascii="Bookman Old Style" w:hAnsi="Bookman Old Style" w:cs="Arial"/>
          <w:sz w:val="28"/>
          <w:szCs w:val="28"/>
          <w:lang w:val="el-GR"/>
        </w:rPr>
        <w:lastRenderedPageBreak/>
        <w:t xml:space="preserve">αποτέλεσμα </w:t>
      </w:r>
      <w:r w:rsidR="002E07B5">
        <w:rPr>
          <w:rFonts w:ascii="Bookman Old Style" w:hAnsi="Bookman Old Style" w:cs="Arial"/>
          <w:sz w:val="28"/>
          <w:szCs w:val="28"/>
          <w:lang w:val="el-GR"/>
        </w:rPr>
        <w:t xml:space="preserve">η αγωγή </w:t>
      </w:r>
      <w:r w:rsidR="00AD518D">
        <w:rPr>
          <w:rFonts w:ascii="Bookman Old Style" w:hAnsi="Bookman Old Style" w:cs="Arial"/>
          <w:sz w:val="28"/>
          <w:szCs w:val="28"/>
          <w:lang w:val="el-GR"/>
        </w:rPr>
        <w:t xml:space="preserve">να μην περιέλθει </w:t>
      </w:r>
      <w:r w:rsidR="002E07B5">
        <w:rPr>
          <w:rFonts w:ascii="Bookman Old Style" w:hAnsi="Bookman Old Style" w:cs="Arial"/>
          <w:sz w:val="28"/>
          <w:szCs w:val="28"/>
          <w:lang w:val="el-GR"/>
        </w:rPr>
        <w:t xml:space="preserve">σε γνώση της εταιρείας. Εδώ η επίδοση έγινε στην καθορισθείσα στο διάταγμα διεύθυνση και στον </w:t>
      </w:r>
      <w:r w:rsidR="00AD518D">
        <w:rPr>
          <w:rFonts w:ascii="Bookman Old Style" w:hAnsi="Bookman Old Style" w:cs="Arial"/>
          <w:sz w:val="28"/>
          <w:szCs w:val="28"/>
          <w:lang w:val="el-GR"/>
        </w:rPr>
        <w:t xml:space="preserve">εκεί ευρισκόμενο </w:t>
      </w:r>
      <w:r w:rsidR="002E07B5">
        <w:rPr>
          <w:rFonts w:ascii="Bookman Old Style" w:hAnsi="Bookman Old Style" w:cs="Arial"/>
          <w:sz w:val="28"/>
          <w:szCs w:val="28"/>
          <w:lang w:val="el-GR"/>
        </w:rPr>
        <w:t xml:space="preserve">οικονομικό διευθυντή της Εφεσείουσας και δεν προβλήθηκε ισχυρισμός πως η διεύθυνση δεν </w:t>
      </w:r>
      <w:r w:rsidR="00AD518D">
        <w:rPr>
          <w:rFonts w:ascii="Bookman Old Style" w:hAnsi="Bookman Old Style" w:cs="Arial"/>
          <w:sz w:val="28"/>
          <w:szCs w:val="28"/>
          <w:lang w:val="el-GR"/>
        </w:rPr>
        <w:t xml:space="preserve">ήταν η </w:t>
      </w:r>
      <w:r w:rsidR="002E07B5">
        <w:rPr>
          <w:rFonts w:ascii="Bookman Old Style" w:hAnsi="Bookman Old Style" w:cs="Arial"/>
          <w:sz w:val="28"/>
          <w:szCs w:val="28"/>
          <w:lang w:val="el-GR"/>
        </w:rPr>
        <w:t>ορθή</w:t>
      </w:r>
      <w:r w:rsidR="00CE1427">
        <w:rPr>
          <w:rFonts w:ascii="Bookman Old Style" w:hAnsi="Bookman Old Style" w:cs="Arial"/>
          <w:sz w:val="28"/>
          <w:szCs w:val="28"/>
          <w:lang w:val="el-GR"/>
        </w:rPr>
        <w:t xml:space="preserve"> </w:t>
      </w:r>
      <w:r w:rsidR="009F69EC">
        <w:rPr>
          <w:rFonts w:ascii="Bookman Old Style" w:hAnsi="Bookman Old Style" w:cs="Arial"/>
          <w:sz w:val="28"/>
          <w:szCs w:val="28"/>
          <w:lang w:val="el-GR"/>
        </w:rPr>
        <w:t xml:space="preserve">ή πως δεν υπήρχε </w:t>
      </w:r>
      <w:r w:rsidR="00AD518D">
        <w:rPr>
          <w:rFonts w:ascii="Bookman Old Style" w:hAnsi="Bookman Old Style" w:cs="Arial"/>
          <w:sz w:val="28"/>
          <w:szCs w:val="28"/>
          <w:lang w:val="el-GR"/>
        </w:rPr>
        <w:t xml:space="preserve">εκεί </w:t>
      </w:r>
      <w:r w:rsidR="009F69EC">
        <w:rPr>
          <w:rFonts w:ascii="Bookman Old Style" w:hAnsi="Bookman Old Style" w:cs="Arial"/>
          <w:sz w:val="28"/>
          <w:szCs w:val="28"/>
          <w:lang w:val="el-GR"/>
        </w:rPr>
        <w:t xml:space="preserve">οικονομικός διευθυντής της εταιρείας, </w:t>
      </w:r>
      <w:r w:rsidR="000173F6">
        <w:rPr>
          <w:rFonts w:ascii="Bookman Old Style" w:hAnsi="Bookman Old Style" w:cs="Arial"/>
          <w:sz w:val="28"/>
          <w:szCs w:val="28"/>
          <w:lang w:val="el-GR"/>
        </w:rPr>
        <w:t xml:space="preserve">παρά μόνο </w:t>
      </w:r>
      <w:r w:rsidR="009F69EC">
        <w:rPr>
          <w:rFonts w:ascii="Bookman Old Style" w:hAnsi="Bookman Old Style" w:cs="Arial"/>
          <w:sz w:val="28"/>
          <w:szCs w:val="28"/>
          <w:lang w:val="el-GR"/>
        </w:rPr>
        <w:t>οι ανωτέρω αντιφατικοί ισχυρισμοί περί μη επίδοσης και επίδοσης αλλά παράλειψης ενημέρωσης</w:t>
      </w:r>
      <w:r w:rsidR="00CE1427">
        <w:rPr>
          <w:rFonts w:ascii="Bookman Old Style" w:hAnsi="Bookman Old Style" w:cs="Arial"/>
          <w:sz w:val="28"/>
          <w:szCs w:val="28"/>
          <w:lang w:val="el-GR"/>
        </w:rPr>
        <w:t xml:space="preserve">. </w:t>
      </w:r>
    </w:p>
    <w:p w14:paraId="374BB7D6" w14:textId="7AA91ED1" w:rsidR="00BC09A3" w:rsidRDefault="00A67130" w:rsidP="00D6280F">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Παρά την πιο πάνω κατάληξη του, το πρωτόδικο Δικαστήριο δεν προέβη στην περαιτέρω εξέταση της αίτησης στη βάση του ότι με την επίδοση η Εφεσείουσα έλαβε γνώση της αγωγής, αλλά αντιθέτως στη βάση της δικής της μαρτυρίας</w:t>
      </w:r>
      <w:r w:rsidR="00EB5C5E">
        <w:rPr>
          <w:rFonts w:ascii="Bookman Old Style" w:hAnsi="Bookman Old Style" w:cs="Arial"/>
          <w:sz w:val="28"/>
          <w:szCs w:val="28"/>
          <w:lang w:val="el-GR"/>
        </w:rPr>
        <w:t xml:space="preserve"> </w:t>
      </w:r>
      <w:r>
        <w:rPr>
          <w:rFonts w:ascii="Bookman Old Style" w:hAnsi="Bookman Old Style" w:cs="Arial"/>
          <w:sz w:val="28"/>
          <w:szCs w:val="28"/>
          <w:lang w:val="el-GR"/>
        </w:rPr>
        <w:t>ότι πληροφορήθηκε για την αγωγή πολύ αργότερα</w:t>
      </w:r>
      <w:r w:rsidR="00096E68">
        <w:rPr>
          <w:rFonts w:ascii="Bookman Old Style" w:hAnsi="Bookman Old Style" w:cs="Arial"/>
          <w:sz w:val="28"/>
          <w:szCs w:val="28"/>
          <w:lang w:val="el-GR"/>
        </w:rPr>
        <w:t>,</w:t>
      </w:r>
      <w:r>
        <w:rPr>
          <w:rFonts w:ascii="Bookman Old Style" w:hAnsi="Bookman Old Style" w:cs="Arial"/>
          <w:sz w:val="28"/>
          <w:szCs w:val="28"/>
          <w:lang w:val="el-GR"/>
        </w:rPr>
        <w:t xml:space="preserve"> κατά το 2014. Επομένως η θέση της Εφεσείουσας πως το πρωτόδικο Δικαστήριο δεν έλαβε υπόψιν την πιθανότητα η αγωγή να είχε παραληφθεί από ένα εκ των υπαλλήλων της Εφεσείουσας ο οποίος αμέλησε να την παραδώσει στους αξιωματούχους της εταιρείας δεν βρίσκει έρεισμα στην ίδια την προσβαλλόμενη απόφαση. Σημειώνουμε εδώ πως το ζήτημα πληροφόρησης της Εφεσείουσας για την αγωγή θα αναλυθεί κατωτέρω. </w:t>
      </w:r>
    </w:p>
    <w:p w14:paraId="20D43C41" w14:textId="52794F04" w:rsidR="00BD0D9F" w:rsidRDefault="00603A2A" w:rsidP="00D6280F">
      <w:pPr>
        <w:spacing w:before="240" w:line="480" w:lineRule="auto"/>
        <w:ind w:firstLine="720"/>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Ως εκ τούτου ο πρώτος λόγος έφεσης κρίνεται αβάσιμος. </w:t>
      </w:r>
      <w:r w:rsidR="00B87D5E">
        <w:rPr>
          <w:rFonts w:ascii="Bookman Old Style" w:hAnsi="Bookman Old Style" w:cs="Arial"/>
          <w:sz w:val="28"/>
          <w:szCs w:val="28"/>
          <w:lang w:val="el-GR"/>
        </w:rPr>
        <w:t>Η ίδια διαπίστωση αφορά και τον τέταρτο λόγο ο οποίος αφορά στο ίδιο ζήτημα, ήτοι την παράλειψη του πρωτόδικου Δικαστηρίου να λάβει υπόψιν το κατ’ ισχυρισμό αδιαμφισβήτητο γεγονός ότι η αγωγή ουδέποτε επιδόθηκε στην Εφεσείουσα</w:t>
      </w:r>
      <w:r w:rsidR="007D078B">
        <w:rPr>
          <w:rFonts w:ascii="Bookman Old Style" w:hAnsi="Bookman Old Style" w:cs="Arial"/>
          <w:sz w:val="28"/>
          <w:szCs w:val="28"/>
          <w:lang w:val="el-GR"/>
        </w:rPr>
        <w:t xml:space="preserve">, θέση η οποία και δεν ευσταθεί. </w:t>
      </w:r>
    </w:p>
    <w:p w14:paraId="771C480A" w14:textId="14E29975" w:rsidR="00603A2A" w:rsidRDefault="005E5AA8" w:rsidP="00D6280F">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Ακολούθως, τ</w:t>
      </w:r>
      <w:r w:rsidR="009F5EC8">
        <w:rPr>
          <w:rFonts w:ascii="Bookman Old Style" w:hAnsi="Bookman Old Style"/>
          <w:sz w:val="28"/>
          <w:szCs w:val="28"/>
          <w:lang w:val="el-GR"/>
        </w:rPr>
        <w:t>ο πρωτόδικο Δικαστήριο ορθώς παρ</w:t>
      </w:r>
      <w:r w:rsidR="00881EF4">
        <w:rPr>
          <w:rFonts w:ascii="Bookman Old Style" w:hAnsi="Bookman Old Style"/>
          <w:sz w:val="28"/>
          <w:szCs w:val="28"/>
          <w:lang w:val="el-GR"/>
        </w:rPr>
        <w:t>έπεμψε</w:t>
      </w:r>
      <w:r w:rsidR="009F5EC8">
        <w:rPr>
          <w:rFonts w:ascii="Bookman Old Style" w:hAnsi="Bookman Old Style"/>
          <w:sz w:val="28"/>
          <w:szCs w:val="28"/>
          <w:lang w:val="el-GR"/>
        </w:rPr>
        <w:t xml:space="preserve"> στη νομολογία που διέπει το ζήτημα παραμερισμού </w:t>
      </w:r>
      <w:r w:rsidR="008746E5">
        <w:rPr>
          <w:rFonts w:ascii="Bookman Old Style" w:hAnsi="Bookman Old Style"/>
          <w:sz w:val="28"/>
          <w:szCs w:val="28"/>
          <w:lang w:val="el-GR"/>
        </w:rPr>
        <w:t xml:space="preserve">κανονικά εκδοθείσας </w:t>
      </w:r>
      <w:r w:rsidR="009F5EC8">
        <w:rPr>
          <w:rFonts w:ascii="Bookman Old Style" w:hAnsi="Bookman Old Style"/>
          <w:sz w:val="28"/>
          <w:szCs w:val="28"/>
          <w:lang w:val="el-GR"/>
        </w:rPr>
        <w:t xml:space="preserve">απόφασης, σύμφωνα με την οποία ο αιτών τον παραμερισμό θα πρέπει να καταδείξει ότι </w:t>
      </w:r>
      <w:r w:rsidR="00A01E0F">
        <w:rPr>
          <w:rFonts w:ascii="Bookman Old Style" w:hAnsi="Bookman Old Style"/>
          <w:sz w:val="28"/>
          <w:szCs w:val="28"/>
          <w:lang w:val="el-GR"/>
        </w:rPr>
        <w:t xml:space="preserve">έχει </w:t>
      </w:r>
      <w:r w:rsidR="009F5EC8">
        <w:rPr>
          <w:rFonts w:ascii="Bookman Old Style" w:hAnsi="Bookman Old Style"/>
          <w:sz w:val="28"/>
          <w:szCs w:val="28"/>
          <w:lang w:val="el-GR"/>
        </w:rPr>
        <w:t xml:space="preserve">εκ πρώτης όψεως υπεράσπιση και </w:t>
      </w:r>
      <w:r w:rsidR="00281CB8">
        <w:rPr>
          <w:rFonts w:ascii="Bookman Old Style" w:hAnsi="Bookman Old Style"/>
          <w:sz w:val="28"/>
          <w:szCs w:val="28"/>
          <w:lang w:val="el-GR"/>
        </w:rPr>
        <w:t xml:space="preserve">να δικαιολογήσει την όποια καθυστέρηση στην καταχώριση της αίτησης παραμερισμού. Σε </w:t>
      </w:r>
      <w:r w:rsidR="008746E5">
        <w:rPr>
          <w:rFonts w:ascii="Bookman Old Style" w:hAnsi="Bookman Old Style"/>
          <w:sz w:val="28"/>
          <w:szCs w:val="28"/>
          <w:lang w:val="el-GR"/>
        </w:rPr>
        <w:t xml:space="preserve">σχέση με το τελευταίο, σε </w:t>
      </w:r>
      <w:r w:rsidR="00281CB8">
        <w:rPr>
          <w:rFonts w:ascii="Bookman Old Style" w:hAnsi="Bookman Old Style"/>
          <w:sz w:val="28"/>
          <w:szCs w:val="28"/>
          <w:lang w:val="el-GR"/>
        </w:rPr>
        <w:t xml:space="preserve">περίπτωση που το Δικαστήριο κρίνει ότι </w:t>
      </w:r>
      <w:r w:rsidR="009F5EC8">
        <w:rPr>
          <w:rFonts w:ascii="Bookman Old Style" w:hAnsi="Bookman Old Style"/>
          <w:sz w:val="28"/>
          <w:szCs w:val="28"/>
          <w:lang w:val="el-GR"/>
        </w:rPr>
        <w:t xml:space="preserve">η συμπεριφορά του ήταν τέτοια </w:t>
      </w:r>
      <w:r w:rsidR="009C2120">
        <w:rPr>
          <w:rFonts w:ascii="Bookman Old Style" w:hAnsi="Bookman Old Style"/>
          <w:sz w:val="28"/>
          <w:szCs w:val="28"/>
          <w:lang w:val="el-GR"/>
        </w:rPr>
        <w:t xml:space="preserve">ώστε να </w:t>
      </w:r>
      <w:r w:rsidR="009F5EC8">
        <w:rPr>
          <w:rFonts w:ascii="Bookman Old Style" w:hAnsi="Bookman Old Style"/>
          <w:sz w:val="28"/>
          <w:szCs w:val="28"/>
          <w:lang w:val="el-GR"/>
        </w:rPr>
        <w:t>προσλαμβάνει τη μορφή καταφρόνησης της δικαστικής διαδικασίας</w:t>
      </w:r>
      <w:r w:rsidR="00281CB8">
        <w:rPr>
          <w:rFonts w:ascii="Bookman Old Style" w:hAnsi="Bookman Old Style"/>
          <w:sz w:val="28"/>
          <w:szCs w:val="28"/>
          <w:lang w:val="el-GR"/>
        </w:rPr>
        <w:t xml:space="preserve">, τότε δεν </w:t>
      </w:r>
      <w:r>
        <w:rPr>
          <w:rFonts w:ascii="Bookman Old Style" w:hAnsi="Bookman Old Style"/>
          <w:sz w:val="28"/>
          <w:szCs w:val="28"/>
          <w:lang w:val="el-GR"/>
        </w:rPr>
        <w:t>δικαιούται σε παραμερισμό της απόφασης</w:t>
      </w:r>
      <w:r w:rsidR="009F5EC8">
        <w:rPr>
          <w:rFonts w:ascii="Bookman Old Style" w:hAnsi="Bookman Old Style"/>
          <w:sz w:val="28"/>
          <w:szCs w:val="28"/>
          <w:lang w:val="el-GR"/>
        </w:rPr>
        <w:t xml:space="preserve">. Σχετικές είναι οι υποθέσεις </w:t>
      </w:r>
      <w:r w:rsidR="009F5EC8" w:rsidRPr="009F5EC8">
        <w:rPr>
          <w:rFonts w:ascii="Bookman Old Style" w:hAnsi="Bookman Old Style"/>
          <w:b/>
          <w:bCs/>
          <w:i/>
          <w:iCs/>
          <w:sz w:val="28"/>
          <w:szCs w:val="28"/>
          <w:lang w:val="el-GR"/>
        </w:rPr>
        <w:t xml:space="preserve">Φραντζής </w:t>
      </w:r>
      <w:r w:rsidR="009F5EC8" w:rsidRPr="009F5EC8">
        <w:rPr>
          <w:rFonts w:ascii="Bookman Old Style" w:hAnsi="Bookman Old Style"/>
          <w:b/>
          <w:bCs/>
          <w:i/>
          <w:iCs/>
          <w:sz w:val="28"/>
          <w:szCs w:val="28"/>
        </w:rPr>
        <w:t>v</w:t>
      </w:r>
      <w:r w:rsidR="009F5EC8" w:rsidRPr="009F5EC8">
        <w:rPr>
          <w:rFonts w:ascii="Bookman Old Style" w:hAnsi="Bookman Old Style"/>
          <w:b/>
          <w:bCs/>
          <w:i/>
          <w:iCs/>
          <w:sz w:val="28"/>
          <w:szCs w:val="28"/>
          <w:lang w:val="el-GR"/>
        </w:rPr>
        <w:t>. Λαϊκής Κυπριακής Τράπεζας (Χρηματοδοτήσεις) Λτδ (1996) 1(Β) Α.Α.Δ. 1094</w:t>
      </w:r>
      <w:r w:rsidR="009F5EC8">
        <w:rPr>
          <w:rFonts w:ascii="Bookman Old Style" w:hAnsi="Bookman Old Style"/>
          <w:sz w:val="28"/>
          <w:szCs w:val="28"/>
          <w:lang w:val="el-GR"/>
        </w:rPr>
        <w:t xml:space="preserve">, </w:t>
      </w:r>
      <w:r w:rsidR="000547BF" w:rsidRPr="000547BF">
        <w:rPr>
          <w:rFonts w:ascii="Bookman Old Style" w:hAnsi="Bookman Old Style"/>
          <w:b/>
          <w:bCs/>
          <w:i/>
          <w:iCs/>
          <w:sz w:val="28"/>
          <w:szCs w:val="28"/>
        </w:rPr>
        <w:t>Milouca</w:t>
      </w:r>
      <w:r w:rsidR="000547BF" w:rsidRPr="000547BF">
        <w:rPr>
          <w:rFonts w:ascii="Bookman Old Style" w:hAnsi="Bookman Old Style"/>
          <w:b/>
          <w:bCs/>
          <w:i/>
          <w:iCs/>
          <w:sz w:val="28"/>
          <w:szCs w:val="28"/>
          <w:lang w:val="el-GR"/>
        </w:rPr>
        <w:t xml:space="preserve"> </w:t>
      </w:r>
      <w:r w:rsidR="000547BF" w:rsidRPr="000547BF">
        <w:rPr>
          <w:rFonts w:ascii="Bookman Old Style" w:hAnsi="Bookman Old Style"/>
          <w:b/>
          <w:bCs/>
          <w:i/>
          <w:iCs/>
          <w:sz w:val="28"/>
          <w:szCs w:val="28"/>
        </w:rPr>
        <w:t>Motor</w:t>
      </w:r>
      <w:r w:rsidR="000547BF" w:rsidRPr="000547BF">
        <w:rPr>
          <w:rFonts w:ascii="Bookman Old Style" w:hAnsi="Bookman Old Style"/>
          <w:b/>
          <w:bCs/>
          <w:i/>
          <w:iCs/>
          <w:sz w:val="28"/>
          <w:szCs w:val="28"/>
          <w:lang w:val="el-GR"/>
        </w:rPr>
        <w:t xml:space="preserve"> </w:t>
      </w:r>
      <w:r w:rsidR="000547BF" w:rsidRPr="000547BF">
        <w:rPr>
          <w:rFonts w:ascii="Bookman Old Style" w:hAnsi="Bookman Old Style"/>
          <w:b/>
          <w:bCs/>
          <w:i/>
          <w:iCs/>
          <w:sz w:val="28"/>
          <w:szCs w:val="28"/>
        </w:rPr>
        <w:t>Trading</w:t>
      </w:r>
      <w:r w:rsidR="000547BF" w:rsidRPr="000547BF">
        <w:rPr>
          <w:rFonts w:ascii="Bookman Old Style" w:hAnsi="Bookman Old Style"/>
          <w:b/>
          <w:bCs/>
          <w:i/>
          <w:iCs/>
          <w:sz w:val="28"/>
          <w:szCs w:val="28"/>
          <w:lang w:val="el-GR"/>
        </w:rPr>
        <w:t xml:space="preserve"> </w:t>
      </w:r>
      <w:r w:rsidR="000547BF" w:rsidRPr="000547BF">
        <w:rPr>
          <w:rFonts w:ascii="Bookman Old Style" w:hAnsi="Bookman Old Style"/>
          <w:b/>
          <w:bCs/>
          <w:i/>
          <w:iCs/>
          <w:sz w:val="28"/>
          <w:szCs w:val="28"/>
        </w:rPr>
        <w:t>Ltd</w:t>
      </w:r>
      <w:r w:rsidR="000547BF" w:rsidRPr="000547BF">
        <w:rPr>
          <w:rFonts w:ascii="Bookman Old Style" w:hAnsi="Bookman Old Style"/>
          <w:b/>
          <w:bCs/>
          <w:i/>
          <w:iCs/>
          <w:sz w:val="28"/>
          <w:szCs w:val="28"/>
          <w:lang w:val="el-GR"/>
        </w:rPr>
        <w:t xml:space="preserve"> </w:t>
      </w:r>
      <w:r w:rsidR="000547BF" w:rsidRPr="000547BF">
        <w:rPr>
          <w:rFonts w:ascii="Bookman Old Style" w:hAnsi="Bookman Old Style"/>
          <w:b/>
          <w:bCs/>
          <w:i/>
          <w:iCs/>
          <w:sz w:val="28"/>
          <w:szCs w:val="28"/>
        </w:rPr>
        <w:t>v</w:t>
      </w:r>
      <w:r w:rsidR="000547BF" w:rsidRPr="000547BF">
        <w:rPr>
          <w:rFonts w:ascii="Bookman Old Style" w:hAnsi="Bookman Old Style"/>
          <w:b/>
          <w:bCs/>
          <w:i/>
          <w:iCs/>
          <w:sz w:val="28"/>
          <w:szCs w:val="28"/>
          <w:lang w:val="el-GR"/>
        </w:rPr>
        <w:t>. Κούρτη (1997) 1(Β) Α.Α.Δ. 941</w:t>
      </w:r>
      <w:r w:rsidR="00207344" w:rsidRPr="00207344">
        <w:rPr>
          <w:rFonts w:ascii="Bookman Old Style" w:hAnsi="Bookman Old Style"/>
          <w:sz w:val="28"/>
          <w:szCs w:val="28"/>
          <w:lang w:val="el-GR"/>
        </w:rPr>
        <w:t>,</w:t>
      </w:r>
      <w:r w:rsidR="00207344">
        <w:rPr>
          <w:rFonts w:ascii="Bookman Old Style" w:hAnsi="Bookman Old Style"/>
          <w:b/>
          <w:bCs/>
          <w:i/>
          <w:iCs/>
          <w:sz w:val="28"/>
          <w:szCs w:val="28"/>
          <w:lang w:val="el-GR"/>
        </w:rPr>
        <w:t xml:space="preserve"> </w:t>
      </w:r>
      <w:r w:rsidR="00B30039" w:rsidRPr="00B30039">
        <w:rPr>
          <w:rFonts w:ascii="Bookman Old Style" w:hAnsi="Bookman Old Style"/>
          <w:b/>
          <w:bCs/>
          <w:i/>
          <w:iCs/>
          <w:sz w:val="28"/>
          <w:szCs w:val="28"/>
          <w:lang w:val="el-GR"/>
        </w:rPr>
        <w:t xml:space="preserve">Εταιρεία Βοθροκαθαριστών Λεμεσού «Βόθροτεξ» Λτδ </w:t>
      </w:r>
      <w:r w:rsidR="00B30039" w:rsidRPr="00B30039">
        <w:rPr>
          <w:rFonts w:ascii="Bookman Old Style" w:hAnsi="Bookman Old Style"/>
          <w:b/>
          <w:bCs/>
          <w:i/>
          <w:iCs/>
          <w:sz w:val="28"/>
          <w:szCs w:val="28"/>
        </w:rPr>
        <w:t>v</w:t>
      </w:r>
      <w:r w:rsidR="00B30039" w:rsidRPr="00B30039">
        <w:rPr>
          <w:rFonts w:ascii="Bookman Old Style" w:hAnsi="Bookman Old Style"/>
          <w:b/>
          <w:bCs/>
          <w:i/>
          <w:iCs/>
          <w:sz w:val="28"/>
          <w:szCs w:val="28"/>
          <w:lang w:val="el-GR"/>
        </w:rPr>
        <w:t>. Φαντάκη (2001) 1(Α) Α.Α.Δ. 339</w:t>
      </w:r>
      <w:r w:rsidR="00207344">
        <w:rPr>
          <w:rFonts w:ascii="Bookman Old Style" w:hAnsi="Bookman Old Style"/>
          <w:sz w:val="28"/>
          <w:szCs w:val="28"/>
          <w:lang w:val="el-GR"/>
        </w:rPr>
        <w:t>,</w:t>
      </w:r>
      <w:r w:rsidR="00B30039">
        <w:rPr>
          <w:rFonts w:ascii="Bookman Old Style" w:hAnsi="Bookman Old Style"/>
          <w:sz w:val="28"/>
          <w:szCs w:val="28"/>
          <w:lang w:val="el-GR"/>
        </w:rPr>
        <w:t xml:space="preserve"> </w:t>
      </w:r>
      <w:r w:rsidR="00207344" w:rsidRPr="00207344">
        <w:rPr>
          <w:rFonts w:ascii="Bookman Old Style" w:hAnsi="Bookman Old Style"/>
          <w:b/>
          <w:bCs/>
          <w:i/>
          <w:iCs/>
          <w:color w:val="000000"/>
          <w:sz w:val="28"/>
          <w:szCs w:val="28"/>
          <w:lang w:val="el-GR"/>
        </w:rPr>
        <w:t xml:space="preserve">Αργυρού ν. Λαϊκής Κυπριακής Τράπεζας </w:t>
      </w:r>
      <w:r w:rsidR="00207344" w:rsidRPr="00207344">
        <w:rPr>
          <w:rFonts w:ascii="Bookman Old Style" w:hAnsi="Bookman Old Style"/>
          <w:b/>
          <w:bCs/>
          <w:i/>
          <w:iCs/>
          <w:color w:val="000000"/>
          <w:sz w:val="28"/>
          <w:szCs w:val="28"/>
          <w:lang w:val="el-GR"/>
        </w:rPr>
        <w:lastRenderedPageBreak/>
        <w:t>(Χρηματοδοτήσεις) Λίμιτεδ</w:t>
      </w:r>
      <w:r w:rsidR="00D6280F">
        <w:rPr>
          <w:rFonts w:ascii="Bookman Old Style" w:hAnsi="Bookman Old Style"/>
          <w:b/>
          <w:bCs/>
          <w:i/>
          <w:iCs/>
          <w:color w:val="000000"/>
          <w:sz w:val="28"/>
          <w:szCs w:val="28"/>
          <w:lang w:val="el-GR"/>
        </w:rPr>
        <w:t xml:space="preserve"> </w:t>
      </w:r>
      <w:r w:rsidR="00207344" w:rsidRPr="00207344">
        <w:rPr>
          <w:rFonts w:ascii="Bookman Old Style" w:hAnsi="Bookman Old Style"/>
          <w:b/>
          <w:bCs/>
          <w:i/>
          <w:iCs/>
          <w:color w:val="000000"/>
          <w:sz w:val="28"/>
          <w:szCs w:val="28"/>
          <w:lang w:val="el-GR"/>
        </w:rPr>
        <w:t>(2005) 1 Α.Α.Δ. 229</w:t>
      </w:r>
      <w:r w:rsidR="00207344" w:rsidRPr="00207344">
        <w:rPr>
          <w:rFonts w:ascii="Bookman Old Style" w:hAnsi="Bookman Old Style"/>
          <w:b/>
          <w:bCs/>
          <w:i/>
          <w:iCs/>
          <w:sz w:val="28"/>
          <w:szCs w:val="28"/>
          <w:lang w:val="el-GR"/>
        </w:rPr>
        <w:t xml:space="preserve"> </w:t>
      </w:r>
      <w:r w:rsidR="00207344" w:rsidRPr="00207344">
        <w:rPr>
          <w:rFonts w:ascii="Bookman Old Style" w:hAnsi="Bookman Old Style"/>
          <w:sz w:val="28"/>
          <w:szCs w:val="28"/>
          <w:lang w:val="el-GR"/>
        </w:rPr>
        <w:t xml:space="preserve">και </w:t>
      </w:r>
      <w:r w:rsidR="00207344">
        <w:rPr>
          <w:rFonts w:ascii="Bookman Old Style" w:hAnsi="Bookman Old Style"/>
          <w:b/>
          <w:bCs/>
          <w:i/>
          <w:iCs/>
          <w:sz w:val="28"/>
          <w:szCs w:val="28"/>
        </w:rPr>
        <w:t>Jurgen</w:t>
      </w:r>
      <w:r w:rsidR="00207344" w:rsidRPr="00207344">
        <w:rPr>
          <w:rFonts w:ascii="Bookman Old Style" w:hAnsi="Bookman Old Style"/>
          <w:b/>
          <w:bCs/>
          <w:i/>
          <w:iCs/>
          <w:sz w:val="28"/>
          <w:szCs w:val="28"/>
          <w:lang w:val="el-GR"/>
        </w:rPr>
        <w:t xml:space="preserve"> </w:t>
      </w:r>
      <w:r w:rsidR="00207344">
        <w:rPr>
          <w:rFonts w:ascii="Bookman Old Style" w:hAnsi="Bookman Old Style"/>
          <w:b/>
          <w:bCs/>
          <w:i/>
          <w:iCs/>
          <w:sz w:val="28"/>
          <w:szCs w:val="28"/>
          <w:lang w:val="el-GR"/>
        </w:rPr>
        <w:t xml:space="preserve">κ.ά. </w:t>
      </w:r>
      <w:r w:rsidR="00207344">
        <w:rPr>
          <w:rFonts w:ascii="Bookman Old Style" w:hAnsi="Bookman Old Style"/>
          <w:b/>
          <w:bCs/>
          <w:i/>
          <w:iCs/>
          <w:sz w:val="28"/>
          <w:szCs w:val="28"/>
        </w:rPr>
        <w:t>v</w:t>
      </w:r>
      <w:r w:rsidR="00207344" w:rsidRPr="00207344">
        <w:rPr>
          <w:rFonts w:ascii="Bookman Old Style" w:hAnsi="Bookman Old Style"/>
          <w:b/>
          <w:bCs/>
          <w:i/>
          <w:iCs/>
          <w:sz w:val="28"/>
          <w:szCs w:val="28"/>
          <w:lang w:val="el-GR"/>
        </w:rPr>
        <w:t xml:space="preserve">. </w:t>
      </w:r>
      <w:r w:rsidR="00207344">
        <w:rPr>
          <w:rFonts w:ascii="Bookman Old Style" w:hAnsi="Bookman Old Style"/>
          <w:b/>
          <w:bCs/>
          <w:i/>
          <w:iCs/>
          <w:sz w:val="28"/>
          <w:szCs w:val="28"/>
          <w:lang w:val="el-GR"/>
        </w:rPr>
        <w:t xml:space="preserve">Σταυρινού, Πολ. Έφεση Αρ. 80/2014, ημερ. 1.6.2020. </w:t>
      </w:r>
    </w:p>
    <w:p w14:paraId="0790AADF" w14:textId="78817C89" w:rsidR="00D868ED" w:rsidRDefault="00A669EC" w:rsidP="00D6280F">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Κρίνουμε σκόπιμο να εξετάσουμε πρώτα </w:t>
      </w:r>
      <w:r w:rsidR="00BA2A2B">
        <w:rPr>
          <w:rFonts w:ascii="Bookman Old Style" w:hAnsi="Bookman Old Style"/>
          <w:sz w:val="28"/>
          <w:szCs w:val="28"/>
          <w:lang w:val="el-GR"/>
        </w:rPr>
        <w:t>τον τρίτο λόγο έφεσης</w:t>
      </w:r>
      <w:r>
        <w:rPr>
          <w:rFonts w:ascii="Bookman Old Style" w:hAnsi="Bookman Old Style"/>
          <w:sz w:val="28"/>
          <w:szCs w:val="28"/>
          <w:lang w:val="el-GR"/>
        </w:rPr>
        <w:t xml:space="preserve">. Με αυτόν τον λόγο </w:t>
      </w:r>
      <w:r w:rsidR="00BA2A2B">
        <w:rPr>
          <w:rFonts w:ascii="Bookman Old Style" w:hAnsi="Bookman Old Style"/>
          <w:sz w:val="28"/>
          <w:szCs w:val="28"/>
          <w:lang w:val="el-GR"/>
        </w:rPr>
        <w:t>προσβάλλεται η κατάληξη του πρωτόδικου Δικαστηρίου ως προς τη συμπεριφορά της Εφεσείουσας</w:t>
      </w:r>
      <w:r w:rsidR="00890585">
        <w:rPr>
          <w:rFonts w:ascii="Bookman Old Style" w:hAnsi="Bookman Old Style"/>
          <w:sz w:val="28"/>
          <w:szCs w:val="28"/>
          <w:lang w:val="el-GR"/>
        </w:rPr>
        <w:t xml:space="preserve">, ήτοι ότι </w:t>
      </w:r>
      <w:r w:rsidR="00A52F1E">
        <w:rPr>
          <w:rFonts w:ascii="Bookman Old Style" w:hAnsi="Bookman Old Style"/>
          <w:sz w:val="28"/>
          <w:szCs w:val="28"/>
          <w:lang w:val="el-GR"/>
        </w:rPr>
        <w:t xml:space="preserve">αυτή </w:t>
      </w:r>
      <w:r w:rsidR="00E1508C">
        <w:rPr>
          <w:rFonts w:ascii="Bookman Old Style" w:hAnsi="Bookman Old Style"/>
          <w:sz w:val="28"/>
          <w:szCs w:val="28"/>
          <w:lang w:val="el-GR"/>
        </w:rPr>
        <w:t xml:space="preserve">επέδειξε παντελή αδιαφορία για την τύχη της αγωγής, ότι είναι ένοχη παραλείψεως και αμελείας και ότι η διαγωγή της είναι περιφρονητική μέχρι βαθμού καταφρόνησης της δικαστικής διαδικασίας. </w:t>
      </w:r>
      <w:r w:rsidR="002979BC">
        <w:rPr>
          <w:rFonts w:ascii="Bookman Old Style" w:hAnsi="Bookman Old Style"/>
          <w:sz w:val="28"/>
          <w:szCs w:val="28"/>
          <w:lang w:val="el-GR"/>
        </w:rPr>
        <w:t xml:space="preserve">Το πρωτόδικο Δικαστήριο προέβη στην κατάληξη του αφότου προηγουμένως είχε επισημάνει πως </w:t>
      </w:r>
      <w:r w:rsidR="00890585">
        <w:rPr>
          <w:rFonts w:ascii="Bookman Old Style" w:hAnsi="Bookman Old Style"/>
          <w:sz w:val="28"/>
          <w:szCs w:val="28"/>
          <w:lang w:val="el-GR"/>
        </w:rPr>
        <w:t xml:space="preserve">από τις 25.2.2014 που η Εφεσείουσα ισχυρίζεται πως έλαβε γνώση για την ύπαρξη της απόφασης, </w:t>
      </w:r>
      <w:r w:rsidR="009F7E28">
        <w:rPr>
          <w:rFonts w:ascii="Bookman Old Style" w:hAnsi="Bookman Old Style"/>
          <w:sz w:val="28"/>
          <w:szCs w:val="28"/>
          <w:lang w:val="el-GR"/>
        </w:rPr>
        <w:t xml:space="preserve">παρήλθαν </w:t>
      </w:r>
      <w:r w:rsidR="00890585">
        <w:rPr>
          <w:rFonts w:ascii="Bookman Old Style" w:hAnsi="Bookman Old Style"/>
          <w:sz w:val="28"/>
          <w:szCs w:val="28"/>
          <w:lang w:val="el-GR"/>
        </w:rPr>
        <w:t>15 μήνες για να αποταθ</w:t>
      </w:r>
      <w:r w:rsidR="002B442B">
        <w:rPr>
          <w:rFonts w:ascii="Bookman Old Style" w:hAnsi="Bookman Old Style"/>
          <w:sz w:val="28"/>
          <w:szCs w:val="28"/>
          <w:lang w:val="el-GR"/>
        </w:rPr>
        <w:t>εί</w:t>
      </w:r>
      <w:r w:rsidR="00890585">
        <w:rPr>
          <w:rFonts w:ascii="Bookman Old Style" w:hAnsi="Bookman Old Style"/>
          <w:sz w:val="28"/>
          <w:szCs w:val="28"/>
          <w:lang w:val="el-GR"/>
        </w:rPr>
        <w:t xml:space="preserve"> στο Δικαστήριο για την ακύρωση της εκδοθείσας απόφασης</w:t>
      </w:r>
      <w:r w:rsidR="00F72902">
        <w:rPr>
          <w:rFonts w:ascii="Bookman Old Style" w:hAnsi="Bookman Old Style"/>
          <w:sz w:val="28"/>
          <w:szCs w:val="28"/>
          <w:lang w:val="el-GR"/>
        </w:rPr>
        <w:t xml:space="preserve"> με την καταχώριση της αίτησης της </w:t>
      </w:r>
      <w:r w:rsidR="00F72902" w:rsidRPr="00D50318">
        <w:rPr>
          <w:rFonts w:ascii="Bookman Old Style" w:hAnsi="Bookman Old Style"/>
          <w:sz w:val="28"/>
          <w:szCs w:val="28"/>
          <w:lang w:val="el-GR"/>
        </w:rPr>
        <w:t>στις 20.5.</w:t>
      </w:r>
      <w:r w:rsidR="00FA29EC">
        <w:rPr>
          <w:rFonts w:ascii="Bookman Old Style" w:hAnsi="Bookman Old Style"/>
          <w:sz w:val="28"/>
          <w:szCs w:val="28"/>
          <w:lang w:val="el-GR"/>
        </w:rPr>
        <w:t>20</w:t>
      </w:r>
      <w:r w:rsidR="00F72902" w:rsidRPr="00D50318">
        <w:rPr>
          <w:rFonts w:ascii="Bookman Old Style" w:hAnsi="Bookman Old Style"/>
          <w:sz w:val="28"/>
          <w:szCs w:val="28"/>
          <w:lang w:val="el-GR"/>
        </w:rPr>
        <w:t>15</w:t>
      </w:r>
      <w:r w:rsidR="00890585" w:rsidRPr="00D50318">
        <w:rPr>
          <w:rFonts w:ascii="Bookman Old Style" w:hAnsi="Bookman Old Style"/>
          <w:sz w:val="28"/>
          <w:szCs w:val="28"/>
          <w:lang w:val="el-GR"/>
        </w:rPr>
        <w:t>.</w:t>
      </w:r>
      <w:r w:rsidR="00890585">
        <w:rPr>
          <w:rFonts w:ascii="Bookman Old Style" w:hAnsi="Bookman Old Style"/>
          <w:sz w:val="28"/>
          <w:szCs w:val="28"/>
          <w:lang w:val="el-GR"/>
        </w:rPr>
        <w:t xml:space="preserve"> </w:t>
      </w:r>
      <w:r w:rsidR="00B82353">
        <w:rPr>
          <w:rFonts w:ascii="Bookman Old Style" w:hAnsi="Bookman Old Style"/>
          <w:sz w:val="28"/>
          <w:szCs w:val="28"/>
          <w:lang w:val="el-GR"/>
        </w:rPr>
        <w:t xml:space="preserve">Εδώ αξίζει να σημειωθεί ότι το πρωτόδικο Δικαστήριο ανέφερε ότι είχε προηγηθεί η έκδοση Ευρωπαϊκού </w:t>
      </w:r>
      <w:r w:rsidR="003B091F">
        <w:rPr>
          <w:rFonts w:ascii="Bookman Old Style" w:hAnsi="Bookman Old Style"/>
          <w:sz w:val="28"/>
          <w:szCs w:val="28"/>
          <w:lang w:val="el-GR"/>
        </w:rPr>
        <w:t>Ε</w:t>
      </w:r>
      <w:r w:rsidR="00B82353">
        <w:rPr>
          <w:rFonts w:ascii="Bookman Old Style" w:hAnsi="Bookman Old Style"/>
          <w:sz w:val="28"/>
          <w:szCs w:val="28"/>
          <w:lang w:val="el-GR"/>
        </w:rPr>
        <w:t xml:space="preserve">κτελεστού </w:t>
      </w:r>
      <w:r w:rsidR="003B091F">
        <w:rPr>
          <w:rFonts w:ascii="Bookman Old Style" w:hAnsi="Bookman Old Style"/>
          <w:sz w:val="28"/>
          <w:szCs w:val="28"/>
          <w:lang w:val="el-GR"/>
        </w:rPr>
        <w:t>Τ</w:t>
      </w:r>
      <w:r w:rsidR="00B82353">
        <w:rPr>
          <w:rFonts w:ascii="Bookman Old Style" w:hAnsi="Bookman Old Style"/>
          <w:sz w:val="28"/>
          <w:szCs w:val="28"/>
          <w:lang w:val="el-GR"/>
        </w:rPr>
        <w:t xml:space="preserve">ίτλου και η εγγραφή της απόφασης στην Αγγλία για σκοπούς εκτέλεσης της. </w:t>
      </w:r>
    </w:p>
    <w:p w14:paraId="76223823" w14:textId="163EBA74" w:rsidR="007A666F" w:rsidRPr="007A666F" w:rsidRDefault="00C47C57" w:rsidP="00D6280F">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Αποδίδεται στο πρωτόδικο Δικαστήριο </w:t>
      </w:r>
      <w:r w:rsidR="009F7E28">
        <w:rPr>
          <w:rFonts w:ascii="Bookman Old Style" w:hAnsi="Bookman Old Style"/>
          <w:sz w:val="28"/>
          <w:szCs w:val="28"/>
          <w:lang w:val="el-GR"/>
        </w:rPr>
        <w:t xml:space="preserve">πως </w:t>
      </w:r>
      <w:r>
        <w:rPr>
          <w:rFonts w:ascii="Bookman Old Style" w:hAnsi="Bookman Old Style"/>
          <w:sz w:val="28"/>
          <w:szCs w:val="28"/>
          <w:lang w:val="el-GR"/>
        </w:rPr>
        <w:t>εσφαλμέν</w:t>
      </w:r>
      <w:r w:rsidR="009F7E28">
        <w:rPr>
          <w:rFonts w:ascii="Bookman Old Style" w:hAnsi="Bookman Old Style"/>
          <w:sz w:val="28"/>
          <w:szCs w:val="28"/>
          <w:lang w:val="el-GR"/>
        </w:rPr>
        <w:t>α</w:t>
      </w:r>
      <w:r>
        <w:rPr>
          <w:rFonts w:ascii="Bookman Old Style" w:hAnsi="Bookman Old Style"/>
          <w:sz w:val="28"/>
          <w:szCs w:val="28"/>
          <w:lang w:val="el-GR"/>
        </w:rPr>
        <w:t xml:space="preserve"> διαπίστωσ</w:t>
      </w:r>
      <w:r w:rsidR="009F7E28">
        <w:rPr>
          <w:rFonts w:ascii="Bookman Old Style" w:hAnsi="Bookman Old Style"/>
          <w:sz w:val="28"/>
          <w:szCs w:val="28"/>
          <w:lang w:val="el-GR"/>
        </w:rPr>
        <w:t>ε</w:t>
      </w:r>
      <w:r>
        <w:rPr>
          <w:rFonts w:ascii="Bookman Old Style" w:hAnsi="Bookman Old Style"/>
          <w:sz w:val="28"/>
          <w:szCs w:val="28"/>
          <w:lang w:val="el-GR"/>
        </w:rPr>
        <w:t xml:space="preserve"> ότι το χρονικό διάστημα των 15 μηνών ήταν αδικαιολόγητο σε βαθμό που να οδηγούσε στην απόρριψη της αίτησης. Προς υποστήριξη αυτής </w:t>
      </w:r>
      <w:r>
        <w:rPr>
          <w:rFonts w:ascii="Bookman Old Style" w:hAnsi="Bookman Old Style"/>
          <w:sz w:val="28"/>
          <w:szCs w:val="28"/>
          <w:lang w:val="el-GR"/>
        </w:rPr>
        <w:lastRenderedPageBreak/>
        <w:t xml:space="preserve">της θέσης, η Εφεσείουσα παραπέμπει στις ενέργειες στις οποίες προέβη αφότου πληροφορήθηκε για την </w:t>
      </w:r>
      <w:r w:rsidR="00C9601B">
        <w:rPr>
          <w:rFonts w:ascii="Bookman Old Style" w:hAnsi="Bookman Old Style"/>
          <w:sz w:val="28"/>
          <w:szCs w:val="28"/>
          <w:lang w:val="el-GR"/>
        </w:rPr>
        <w:t xml:space="preserve">ύπαρξη της απόφασης εναντίον της. Αυτές περιγράφονται στην ένορκη δήλωση που συνόδευε την αίτηση και </w:t>
      </w:r>
      <w:r w:rsidR="00D24289">
        <w:rPr>
          <w:rFonts w:ascii="Bookman Old Style" w:hAnsi="Bookman Old Style"/>
          <w:sz w:val="28"/>
          <w:szCs w:val="28"/>
          <w:lang w:val="el-GR"/>
        </w:rPr>
        <w:t>συνίστανται</w:t>
      </w:r>
      <w:r w:rsidR="007A666F">
        <w:rPr>
          <w:rFonts w:ascii="Bookman Old Style" w:hAnsi="Bookman Old Style"/>
          <w:sz w:val="28"/>
          <w:szCs w:val="28"/>
          <w:lang w:val="el-GR"/>
        </w:rPr>
        <w:t xml:space="preserve"> στα ακόλουθα</w:t>
      </w:r>
      <w:r w:rsidR="007A666F" w:rsidRPr="007A666F">
        <w:rPr>
          <w:rFonts w:ascii="Bookman Old Style" w:hAnsi="Bookman Old Style"/>
          <w:sz w:val="28"/>
          <w:szCs w:val="28"/>
          <w:lang w:val="el-GR"/>
        </w:rPr>
        <w:t>:</w:t>
      </w:r>
    </w:p>
    <w:p w14:paraId="50BC2D85" w14:textId="321868D3" w:rsidR="007A666F" w:rsidRDefault="00C9601B" w:rsidP="00DE5202">
      <w:pPr>
        <w:pStyle w:val="ListParagraph"/>
        <w:numPr>
          <w:ilvl w:val="0"/>
          <w:numId w:val="2"/>
        </w:numPr>
        <w:spacing w:after="0" w:line="276" w:lineRule="auto"/>
        <w:jc w:val="both"/>
        <w:rPr>
          <w:rFonts w:ascii="Bookman Old Style" w:hAnsi="Bookman Old Style"/>
          <w:sz w:val="28"/>
          <w:szCs w:val="28"/>
          <w:lang w:val="el-GR"/>
        </w:rPr>
      </w:pPr>
      <w:r w:rsidRPr="007A666F">
        <w:rPr>
          <w:rFonts w:ascii="Bookman Old Style" w:hAnsi="Bookman Old Style"/>
          <w:sz w:val="28"/>
          <w:szCs w:val="28"/>
          <w:lang w:val="el-GR"/>
        </w:rPr>
        <w:t xml:space="preserve">αποστολή </w:t>
      </w:r>
      <w:r w:rsidR="007A666F">
        <w:rPr>
          <w:rFonts w:ascii="Bookman Old Style" w:hAnsi="Bookman Old Style"/>
          <w:sz w:val="28"/>
          <w:szCs w:val="28"/>
          <w:lang w:val="el-GR"/>
        </w:rPr>
        <w:t xml:space="preserve">από την Εφεσείουσα </w:t>
      </w:r>
      <w:r w:rsidRPr="007A666F">
        <w:rPr>
          <w:rFonts w:ascii="Bookman Old Style" w:hAnsi="Bookman Old Style"/>
          <w:sz w:val="28"/>
          <w:szCs w:val="28"/>
          <w:lang w:val="el-GR"/>
        </w:rPr>
        <w:t xml:space="preserve">ηλεκτρονικού μηνύματος ημερ. 27.3.2014 </w:t>
      </w:r>
      <w:r w:rsidR="00615B46">
        <w:rPr>
          <w:rFonts w:ascii="Bookman Old Style" w:hAnsi="Bookman Old Style"/>
          <w:sz w:val="28"/>
          <w:szCs w:val="28"/>
          <w:lang w:val="el-GR"/>
        </w:rPr>
        <w:t xml:space="preserve">προς την Εφεσίβλητη </w:t>
      </w:r>
      <w:r w:rsidRPr="007A666F">
        <w:rPr>
          <w:rFonts w:ascii="Bookman Old Style" w:hAnsi="Bookman Old Style"/>
          <w:sz w:val="28"/>
          <w:szCs w:val="28"/>
          <w:lang w:val="el-GR"/>
        </w:rPr>
        <w:t>ζητώντας πληροφορίες για την επίδοση, στο οποίο δεν έλαβ</w:t>
      </w:r>
      <w:r w:rsidR="007A666F">
        <w:rPr>
          <w:rFonts w:ascii="Bookman Old Style" w:hAnsi="Bookman Old Style"/>
          <w:sz w:val="28"/>
          <w:szCs w:val="28"/>
          <w:lang w:val="el-GR"/>
        </w:rPr>
        <w:t>ε</w:t>
      </w:r>
      <w:r w:rsidRPr="007A666F">
        <w:rPr>
          <w:rFonts w:ascii="Bookman Old Style" w:hAnsi="Bookman Old Style"/>
          <w:sz w:val="28"/>
          <w:szCs w:val="28"/>
          <w:lang w:val="el-GR"/>
        </w:rPr>
        <w:t xml:space="preserve"> απάντησ</w:t>
      </w:r>
      <w:r w:rsidR="007A666F">
        <w:rPr>
          <w:rFonts w:ascii="Bookman Old Style" w:hAnsi="Bookman Old Style"/>
          <w:sz w:val="28"/>
          <w:szCs w:val="28"/>
          <w:lang w:val="el-GR"/>
        </w:rPr>
        <w:t>η</w:t>
      </w:r>
    </w:p>
    <w:p w14:paraId="3D428734" w14:textId="77777777" w:rsidR="00DE5202" w:rsidRPr="00DE5202" w:rsidRDefault="00DE5202" w:rsidP="00DE5202">
      <w:pPr>
        <w:spacing w:after="0" w:line="120" w:lineRule="auto"/>
        <w:jc w:val="both"/>
        <w:rPr>
          <w:rFonts w:ascii="Bookman Old Style" w:hAnsi="Bookman Old Style"/>
          <w:sz w:val="28"/>
          <w:szCs w:val="28"/>
          <w:lang w:val="el-GR"/>
        </w:rPr>
      </w:pPr>
    </w:p>
    <w:p w14:paraId="7434C00D" w14:textId="06D8927F" w:rsidR="0087608F" w:rsidRDefault="00C9601B" w:rsidP="0087608F">
      <w:pPr>
        <w:pStyle w:val="ListParagraph"/>
        <w:numPr>
          <w:ilvl w:val="0"/>
          <w:numId w:val="2"/>
        </w:numPr>
        <w:spacing w:before="240" w:after="0" w:line="276" w:lineRule="auto"/>
        <w:jc w:val="both"/>
        <w:rPr>
          <w:rFonts w:ascii="Bookman Old Style" w:hAnsi="Bookman Old Style"/>
          <w:sz w:val="28"/>
          <w:szCs w:val="28"/>
          <w:lang w:val="el-GR"/>
        </w:rPr>
      </w:pPr>
      <w:r w:rsidRPr="007A666F">
        <w:rPr>
          <w:rFonts w:ascii="Bookman Old Style" w:hAnsi="Bookman Old Style"/>
          <w:sz w:val="28"/>
          <w:szCs w:val="28"/>
          <w:lang w:val="el-GR"/>
        </w:rPr>
        <w:t xml:space="preserve">αποστολή επιστολής ημερ. 4.6.2014 μέσω των δικηγόρων </w:t>
      </w:r>
      <w:r w:rsidR="00615B46">
        <w:rPr>
          <w:rFonts w:ascii="Bookman Old Style" w:hAnsi="Bookman Old Style"/>
          <w:sz w:val="28"/>
          <w:szCs w:val="28"/>
          <w:lang w:val="el-GR"/>
        </w:rPr>
        <w:t>της Εφεσείουσας</w:t>
      </w:r>
      <w:r w:rsidRPr="007A666F">
        <w:rPr>
          <w:rFonts w:ascii="Bookman Old Style" w:hAnsi="Bookman Old Style"/>
          <w:sz w:val="28"/>
          <w:szCs w:val="28"/>
          <w:lang w:val="el-GR"/>
        </w:rPr>
        <w:t xml:space="preserve"> </w:t>
      </w:r>
      <w:r w:rsidR="00D24289" w:rsidRPr="007A666F">
        <w:rPr>
          <w:rFonts w:ascii="Bookman Old Style" w:hAnsi="Bookman Old Style"/>
          <w:sz w:val="28"/>
          <w:szCs w:val="28"/>
          <w:lang w:val="el-GR"/>
        </w:rPr>
        <w:t xml:space="preserve">με την οποία </w:t>
      </w:r>
      <w:r w:rsidR="00615B46">
        <w:rPr>
          <w:rFonts w:ascii="Bookman Old Style" w:hAnsi="Bookman Old Style"/>
          <w:sz w:val="28"/>
          <w:szCs w:val="28"/>
          <w:lang w:val="el-GR"/>
        </w:rPr>
        <w:t xml:space="preserve">ανέφεραν ότι δεν παρέλαβαν την αγωγή και </w:t>
      </w:r>
      <w:r w:rsidR="00D24289" w:rsidRPr="007A666F">
        <w:rPr>
          <w:rFonts w:ascii="Bookman Old Style" w:hAnsi="Bookman Old Style"/>
          <w:sz w:val="28"/>
          <w:szCs w:val="28"/>
          <w:lang w:val="el-GR"/>
        </w:rPr>
        <w:t xml:space="preserve">απέρριπταν </w:t>
      </w:r>
      <w:r w:rsidRPr="007A666F">
        <w:rPr>
          <w:rFonts w:ascii="Bookman Old Style" w:hAnsi="Bookman Old Style"/>
          <w:sz w:val="28"/>
          <w:szCs w:val="28"/>
          <w:lang w:val="el-GR"/>
        </w:rPr>
        <w:t>τους ισχυρισμούς της Εφεσίβλητης</w:t>
      </w:r>
    </w:p>
    <w:p w14:paraId="5D16CBA5" w14:textId="77777777" w:rsidR="0087608F" w:rsidRPr="0087608F" w:rsidRDefault="0087608F" w:rsidP="0087608F">
      <w:pPr>
        <w:spacing w:before="240" w:after="0" w:line="276" w:lineRule="auto"/>
        <w:jc w:val="both"/>
        <w:rPr>
          <w:rFonts w:ascii="Bookman Old Style" w:hAnsi="Bookman Old Style"/>
          <w:sz w:val="28"/>
          <w:szCs w:val="28"/>
          <w:lang w:val="el-GR"/>
        </w:rPr>
      </w:pPr>
    </w:p>
    <w:p w14:paraId="71AA0412" w14:textId="77777777" w:rsidR="00DE5202" w:rsidRDefault="00615B46" w:rsidP="00DE5202">
      <w:pPr>
        <w:pStyle w:val="ListParagraph"/>
        <w:numPr>
          <w:ilvl w:val="0"/>
          <w:numId w:val="2"/>
        </w:numPr>
        <w:spacing w:line="240" w:lineRule="auto"/>
        <w:jc w:val="both"/>
        <w:rPr>
          <w:rFonts w:ascii="Bookman Old Style" w:hAnsi="Bookman Old Style"/>
          <w:sz w:val="28"/>
          <w:szCs w:val="28"/>
          <w:lang w:val="el-GR"/>
        </w:rPr>
      </w:pPr>
      <w:r>
        <w:rPr>
          <w:rFonts w:ascii="Bookman Old Style" w:hAnsi="Bookman Old Style"/>
          <w:sz w:val="28"/>
          <w:szCs w:val="28"/>
          <w:lang w:val="el-GR"/>
        </w:rPr>
        <w:t xml:space="preserve">αποστολή </w:t>
      </w:r>
      <w:r w:rsidR="00211FF3">
        <w:rPr>
          <w:rFonts w:ascii="Bookman Old Style" w:hAnsi="Bookman Old Style"/>
          <w:sz w:val="28"/>
          <w:szCs w:val="28"/>
          <w:lang w:val="el-GR"/>
        </w:rPr>
        <w:t xml:space="preserve">απαντητικής </w:t>
      </w:r>
      <w:r w:rsidR="00C9601B" w:rsidRPr="007A666F">
        <w:rPr>
          <w:rFonts w:ascii="Bookman Old Style" w:hAnsi="Bookman Old Style"/>
          <w:sz w:val="28"/>
          <w:szCs w:val="28"/>
          <w:lang w:val="el-GR"/>
        </w:rPr>
        <w:t>επιστολή</w:t>
      </w:r>
      <w:r>
        <w:rPr>
          <w:rFonts w:ascii="Bookman Old Style" w:hAnsi="Bookman Old Style"/>
          <w:sz w:val="28"/>
          <w:szCs w:val="28"/>
          <w:lang w:val="el-GR"/>
        </w:rPr>
        <w:t>ς</w:t>
      </w:r>
      <w:r w:rsidR="00C9601B" w:rsidRPr="007A666F">
        <w:rPr>
          <w:rFonts w:ascii="Bookman Old Style" w:hAnsi="Bookman Old Style"/>
          <w:sz w:val="28"/>
          <w:szCs w:val="28"/>
          <w:lang w:val="el-GR"/>
        </w:rPr>
        <w:t xml:space="preserve"> </w:t>
      </w:r>
      <w:r w:rsidRPr="007A666F">
        <w:rPr>
          <w:rFonts w:ascii="Bookman Old Style" w:hAnsi="Bookman Old Style"/>
          <w:sz w:val="28"/>
          <w:szCs w:val="28"/>
          <w:lang w:val="el-GR"/>
        </w:rPr>
        <w:t>ημερ. 29.7.2014</w:t>
      </w:r>
      <w:r>
        <w:rPr>
          <w:rFonts w:ascii="Bookman Old Style" w:hAnsi="Bookman Old Style"/>
          <w:sz w:val="28"/>
          <w:szCs w:val="28"/>
          <w:lang w:val="el-GR"/>
        </w:rPr>
        <w:t xml:space="preserve"> </w:t>
      </w:r>
      <w:r w:rsidR="007A666F">
        <w:rPr>
          <w:rFonts w:ascii="Bookman Old Style" w:hAnsi="Bookman Old Style"/>
          <w:sz w:val="28"/>
          <w:szCs w:val="28"/>
          <w:lang w:val="el-GR"/>
        </w:rPr>
        <w:t>των δικηγόρων της Εφεσίβλητης</w:t>
      </w:r>
    </w:p>
    <w:p w14:paraId="6BCDDB3E" w14:textId="5A07A0A0" w:rsidR="00615B46" w:rsidRPr="00DE5202" w:rsidRDefault="007A666F" w:rsidP="00DE5202">
      <w:pPr>
        <w:spacing w:after="0" w:line="240" w:lineRule="auto"/>
        <w:jc w:val="both"/>
        <w:rPr>
          <w:rFonts w:ascii="Bookman Old Style" w:hAnsi="Bookman Old Style"/>
          <w:sz w:val="28"/>
          <w:szCs w:val="28"/>
          <w:lang w:val="el-GR"/>
        </w:rPr>
      </w:pPr>
      <w:r w:rsidRPr="00DE5202">
        <w:rPr>
          <w:rFonts w:ascii="Bookman Old Style" w:hAnsi="Bookman Old Style"/>
          <w:sz w:val="28"/>
          <w:szCs w:val="28"/>
          <w:lang w:val="el-GR"/>
        </w:rPr>
        <w:t xml:space="preserve"> </w:t>
      </w:r>
    </w:p>
    <w:p w14:paraId="15D9CEB9" w14:textId="18DE3EAD" w:rsidR="00615B46" w:rsidRDefault="00615B46" w:rsidP="00DE5202">
      <w:pPr>
        <w:pStyle w:val="ListParagraph"/>
        <w:numPr>
          <w:ilvl w:val="0"/>
          <w:numId w:val="2"/>
        </w:numPr>
        <w:spacing w:line="276" w:lineRule="auto"/>
        <w:jc w:val="both"/>
        <w:rPr>
          <w:rFonts w:ascii="Bookman Old Style" w:hAnsi="Bookman Old Style"/>
          <w:sz w:val="28"/>
          <w:szCs w:val="28"/>
          <w:lang w:val="el-GR"/>
        </w:rPr>
      </w:pPr>
      <w:r>
        <w:rPr>
          <w:rFonts w:ascii="Bookman Old Style" w:hAnsi="Bookman Old Style"/>
          <w:sz w:val="28"/>
          <w:szCs w:val="28"/>
          <w:lang w:val="el-GR"/>
        </w:rPr>
        <w:t xml:space="preserve">εξασφάλιση </w:t>
      </w:r>
      <w:r w:rsidR="00342280" w:rsidRPr="007A666F">
        <w:rPr>
          <w:rFonts w:ascii="Bookman Old Style" w:hAnsi="Bookman Old Style"/>
          <w:sz w:val="28"/>
          <w:szCs w:val="28"/>
          <w:lang w:val="el-GR"/>
        </w:rPr>
        <w:t>στις 30.7.2014</w:t>
      </w:r>
      <w:r w:rsidR="00411BEA">
        <w:rPr>
          <w:rFonts w:ascii="Bookman Old Style" w:hAnsi="Bookman Old Style"/>
          <w:sz w:val="28"/>
          <w:szCs w:val="28"/>
          <w:lang w:val="el-GR"/>
        </w:rPr>
        <w:t xml:space="preserve"> </w:t>
      </w:r>
      <w:r>
        <w:rPr>
          <w:rFonts w:ascii="Bookman Old Style" w:hAnsi="Bookman Old Style"/>
          <w:sz w:val="28"/>
          <w:szCs w:val="28"/>
          <w:lang w:val="el-GR"/>
        </w:rPr>
        <w:t xml:space="preserve">από την Εφεσίβλητη </w:t>
      </w:r>
      <w:r w:rsidRPr="007A666F">
        <w:rPr>
          <w:rFonts w:ascii="Bookman Old Style" w:hAnsi="Bookman Old Style"/>
          <w:sz w:val="28"/>
          <w:szCs w:val="28"/>
          <w:lang w:val="el-GR"/>
        </w:rPr>
        <w:t>εντάλμα</w:t>
      </w:r>
      <w:r>
        <w:rPr>
          <w:rFonts w:ascii="Bookman Old Style" w:hAnsi="Bookman Old Style"/>
          <w:sz w:val="28"/>
          <w:szCs w:val="28"/>
          <w:lang w:val="el-GR"/>
        </w:rPr>
        <w:t>τος</w:t>
      </w:r>
      <w:r w:rsidR="00C9601B" w:rsidRPr="007A666F">
        <w:rPr>
          <w:rFonts w:ascii="Bookman Old Style" w:hAnsi="Bookman Old Style"/>
          <w:sz w:val="28"/>
          <w:szCs w:val="28"/>
          <w:lang w:val="el-GR"/>
        </w:rPr>
        <w:t xml:space="preserve"> κατάσχεσης των περιουσιακών στοιχείων </w:t>
      </w:r>
      <w:r w:rsidR="00342280">
        <w:rPr>
          <w:rFonts w:ascii="Bookman Old Style" w:hAnsi="Bookman Old Style"/>
          <w:sz w:val="28"/>
          <w:szCs w:val="28"/>
          <w:lang w:val="el-GR"/>
        </w:rPr>
        <w:t xml:space="preserve">της Εφεσείουσας </w:t>
      </w:r>
      <w:r w:rsidR="00C9601B" w:rsidRPr="007A666F">
        <w:rPr>
          <w:rFonts w:ascii="Bookman Old Style" w:hAnsi="Bookman Old Style"/>
          <w:sz w:val="28"/>
          <w:szCs w:val="28"/>
          <w:lang w:val="el-GR"/>
        </w:rPr>
        <w:t xml:space="preserve">στο Ηνωμένο Βασίλειο </w:t>
      </w:r>
    </w:p>
    <w:p w14:paraId="18986281" w14:textId="77777777" w:rsidR="00DE5202" w:rsidRPr="00DE5202" w:rsidRDefault="00DE5202" w:rsidP="00DE5202">
      <w:pPr>
        <w:pStyle w:val="ListParagraph"/>
        <w:rPr>
          <w:rFonts w:ascii="Bookman Old Style" w:hAnsi="Bookman Old Style"/>
          <w:sz w:val="28"/>
          <w:szCs w:val="28"/>
          <w:lang w:val="el-GR"/>
        </w:rPr>
      </w:pPr>
    </w:p>
    <w:p w14:paraId="6BDEED0A" w14:textId="77777777" w:rsidR="00411BEA" w:rsidRDefault="00615B46" w:rsidP="00DE5202">
      <w:pPr>
        <w:pStyle w:val="ListParagraph"/>
        <w:numPr>
          <w:ilvl w:val="0"/>
          <w:numId w:val="2"/>
        </w:numPr>
        <w:spacing w:line="276" w:lineRule="auto"/>
        <w:jc w:val="both"/>
        <w:rPr>
          <w:rFonts w:ascii="Bookman Old Style" w:hAnsi="Bookman Old Style"/>
          <w:sz w:val="28"/>
          <w:szCs w:val="28"/>
          <w:lang w:val="el-GR"/>
        </w:rPr>
      </w:pPr>
      <w:r>
        <w:rPr>
          <w:rFonts w:ascii="Bookman Old Style" w:hAnsi="Bookman Old Style"/>
          <w:sz w:val="28"/>
          <w:szCs w:val="28"/>
          <w:lang w:val="el-GR"/>
        </w:rPr>
        <w:t xml:space="preserve">αποστολή </w:t>
      </w:r>
      <w:r w:rsidR="00C9601B" w:rsidRPr="007A666F">
        <w:rPr>
          <w:rFonts w:ascii="Bookman Old Style" w:hAnsi="Bookman Old Style"/>
          <w:sz w:val="28"/>
          <w:szCs w:val="28"/>
          <w:lang w:val="el-GR"/>
        </w:rPr>
        <w:t>νέα</w:t>
      </w:r>
      <w:r>
        <w:rPr>
          <w:rFonts w:ascii="Bookman Old Style" w:hAnsi="Bookman Old Style"/>
          <w:sz w:val="28"/>
          <w:szCs w:val="28"/>
          <w:lang w:val="el-GR"/>
        </w:rPr>
        <w:t>ς</w:t>
      </w:r>
      <w:r w:rsidR="00C9601B" w:rsidRPr="007A666F">
        <w:rPr>
          <w:rFonts w:ascii="Bookman Old Style" w:hAnsi="Bookman Old Style"/>
          <w:sz w:val="28"/>
          <w:szCs w:val="28"/>
          <w:lang w:val="el-GR"/>
        </w:rPr>
        <w:t xml:space="preserve"> επιστολή</w:t>
      </w:r>
      <w:r>
        <w:rPr>
          <w:rFonts w:ascii="Bookman Old Style" w:hAnsi="Bookman Old Style"/>
          <w:sz w:val="28"/>
          <w:szCs w:val="28"/>
          <w:lang w:val="el-GR"/>
        </w:rPr>
        <w:t xml:space="preserve">ς από τους δικηγόρους της Εφεσείουσας </w:t>
      </w:r>
      <w:r w:rsidR="00C9601B" w:rsidRPr="007A666F">
        <w:rPr>
          <w:rFonts w:ascii="Bookman Old Style" w:hAnsi="Bookman Old Style"/>
          <w:sz w:val="28"/>
          <w:szCs w:val="28"/>
          <w:lang w:val="el-GR"/>
        </w:rPr>
        <w:t xml:space="preserve">προς την Εφεσίβλητη </w:t>
      </w:r>
      <w:r w:rsidR="00411BEA">
        <w:rPr>
          <w:rFonts w:ascii="Bookman Old Style" w:hAnsi="Bookman Old Style"/>
          <w:sz w:val="28"/>
          <w:szCs w:val="28"/>
          <w:lang w:val="el-GR"/>
        </w:rPr>
        <w:t>στην οποία ανέφεραν τις παρατυπίες στην έκδοση της απόφασης και του εντάλματος</w:t>
      </w:r>
    </w:p>
    <w:p w14:paraId="65200700" w14:textId="77777777" w:rsidR="00DE5202" w:rsidRPr="00DE5202" w:rsidRDefault="00DE5202" w:rsidP="00DE5202">
      <w:pPr>
        <w:pStyle w:val="ListParagraph"/>
        <w:rPr>
          <w:rFonts w:ascii="Bookman Old Style" w:hAnsi="Bookman Old Style"/>
          <w:sz w:val="28"/>
          <w:szCs w:val="28"/>
          <w:lang w:val="el-GR"/>
        </w:rPr>
      </w:pPr>
    </w:p>
    <w:p w14:paraId="1598D24B" w14:textId="20A3C9B5" w:rsidR="00411BEA" w:rsidRPr="007C3A5D" w:rsidRDefault="00411BEA" w:rsidP="007C3A5D">
      <w:pPr>
        <w:pStyle w:val="ListParagraph"/>
        <w:numPr>
          <w:ilvl w:val="0"/>
          <w:numId w:val="2"/>
        </w:numPr>
        <w:spacing w:line="276" w:lineRule="auto"/>
        <w:jc w:val="both"/>
        <w:rPr>
          <w:rFonts w:ascii="Bookman Old Style" w:hAnsi="Bookman Old Style"/>
          <w:sz w:val="28"/>
          <w:szCs w:val="28"/>
          <w:lang w:val="el-GR"/>
        </w:rPr>
      </w:pPr>
      <w:r>
        <w:rPr>
          <w:rFonts w:ascii="Bookman Old Style" w:hAnsi="Bookman Old Style"/>
          <w:sz w:val="28"/>
          <w:szCs w:val="28"/>
          <w:lang w:val="el-GR"/>
        </w:rPr>
        <w:t xml:space="preserve">καταχώριση στις </w:t>
      </w:r>
      <w:r w:rsidR="00C9601B" w:rsidRPr="007A666F">
        <w:rPr>
          <w:rFonts w:ascii="Bookman Old Style" w:hAnsi="Bookman Old Style"/>
          <w:sz w:val="28"/>
          <w:szCs w:val="28"/>
          <w:lang w:val="el-GR"/>
        </w:rPr>
        <w:t>11.8.2014 στα Αγγλικά Δικαστήρια αίτηση</w:t>
      </w:r>
      <w:r>
        <w:rPr>
          <w:rFonts w:ascii="Bookman Old Style" w:hAnsi="Bookman Old Style"/>
          <w:sz w:val="28"/>
          <w:szCs w:val="28"/>
          <w:lang w:val="el-GR"/>
        </w:rPr>
        <w:t>ς</w:t>
      </w:r>
      <w:r w:rsidR="00C9601B" w:rsidRPr="007A666F">
        <w:rPr>
          <w:rFonts w:ascii="Bookman Old Style" w:hAnsi="Bookman Old Style"/>
          <w:sz w:val="28"/>
          <w:szCs w:val="28"/>
          <w:lang w:val="el-GR"/>
        </w:rPr>
        <w:t xml:space="preserve"> για τον παραμερισμό και ή την αναστολή του εντάλματος.</w:t>
      </w:r>
      <w:r w:rsidR="00C9601B" w:rsidRPr="007C3A5D">
        <w:rPr>
          <w:rFonts w:ascii="Bookman Old Style" w:hAnsi="Bookman Old Style"/>
          <w:sz w:val="28"/>
          <w:szCs w:val="28"/>
          <w:lang w:val="el-GR"/>
        </w:rPr>
        <w:t xml:space="preserve"> </w:t>
      </w:r>
    </w:p>
    <w:p w14:paraId="10E21BD5" w14:textId="77777777" w:rsidR="00D6280F" w:rsidRDefault="00DE5202" w:rsidP="00D6280F">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r>
    </w:p>
    <w:p w14:paraId="051DAB94" w14:textId="4D526F34" w:rsidR="00C47C57" w:rsidRPr="00411BEA" w:rsidRDefault="00D6280F" w:rsidP="00D6280F">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lastRenderedPageBreak/>
        <w:tab/>
      </w:r>
      <w:r w:rsidR="00C9601B" w:rsidRPr="00411BEA">
        <w:rPr>
          <w:rFonts w:ascii="Bookman Old Style" w:hAnsi="Bookman Old Style"/>
          <w:sz w:val="28"/>
          <w:szCs w:val="28"/>
          <w:lang w:val="el-GR"/>
        </w:rPr>
        <w:t xml:space="preserve">Η ενόρκως δηλούσα αναφέρει ότι λόγω των πιο πάνω γεγονότων, μόνο κατά την ημερομηνία καταχώρισης της αίτησης παραμερισμού κατάφερε να εξακριβώσει τι πραγματικά έγινε και να αποφασίσει τα κατάλληλα μέτρα </w:t>
      </w:r>
      <w:r w:rsidR="00743303" w:rsidRPr="00411BEA">
        <w:rPr>
          <w:rFonts w:ascii="Bookman Old Style" w:hAnsi="Bookman Old Style"/>
          <w:sz w:val="28"/>
          <w:szCs w:val="28"/>
          <w:lang w:val="el-GR"/>
        </w:rPr>
        <w:t xml:space="preserve">τόσο στην Αγγλία όσο και στην Κύπρο. Εξού και καταλήγει ότι η πάροδος των 15 μηνών δεν είναι τέτοια που να αποτελεί ανυπέρβλητο παράγοντα για την τύχη της αίτησης παραμερισμού καθότι η Εφεσείουσα δεν παρέμεινε άπρακτη. </w:t>
      </w:r>
    </w:p>
    <w:p w14:paraId="6FEC3A64" w14:textId="4F533354" w:rsidR="00573E1E" w:rsidRDefault="00573E1E" w:rsidP="00D6280F">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Παρόλο που το πρωτόδικο Δικαστήριο ήταν λακωνικό στις διαπιστώσεις του, εντούτοις διαφαίνεται ότι συνυπολόγισε όλα τα ενώπιον του δεδομένα για να καταλήξει ότι οι 15 μήνες που μεσολάβησαν μέχρι να αποταθ</w:t>
      </w:r>
      <w:r w:rsidR="00850A27">
        <w:rPr>
          <w:rFonts w:ascii="Bookman Old Style" w:hAnsi="Bookman Old Style"/>
          <w:sz w:val="28"/>
          <w:szCs w:val="28"/>
          <w:lang w:val="el-GR"/>
        </w:rPr>
        <w:t>εί η Εφεσείουσα</w:t>
      </w:r>
      <w:r>
        <w:rPr>
          <w:rFonts w:ascii="Bookman Old Style" w:hAnsi="Bookman Old Style"/>
          <w:sz w:val="28"/>
          <w:szCs w:val="28"/>
          <w:lang w:val="el-GR"/>
        </w:rPr>
        <w:t xml:space="preserve"> στο Δικαστήριο για την ακύρωση της εκδοθείσας απόφασης κρίνονται αδικαιολόγητοι. Το πρωτόδικο Δικαστήριο έδωσε έμφαση στην όλη στάση της Εφεσείουσας από την ημερομηνία λήψης γνώσης της απόφασης μέχρι και την ημερομηνία καταχώρισης της αίτησης παραμερισμού και κατέληξε ότι ο διαρρεύσας χρόνος ήταν αδικαιολόγητα μεγάλος. Θεωρούμε ότι το πρωτόδικο Δικαστήριο συνυπολόγισε όλα τα δεδομένα,</w:t>
      </w:r>
      <w:r w:rsidR="003611D8">
        <w:rPr>
          <w:rFonts w:ascii="Bookman Old Style" w:hAnsi="Bookman Old Style"/>
          <w:sz w:val="28"/>
          <w:szCs w:val="28"/>
          <w:lang w:val="el-GR"/>
        </w:rPr>
        <w:t xml:space="preserve"> </w:t>
      </w:r>
      <w:r>
        <w:rPr>
          <w:rFonts w:ascii="Bookman Old Style" w:hAnsi="Bookman Old Style"/>
          <w:sz w:val="28"/>
          <w:szCs w:val="28"/>
          <w:lang w:val="el-GR"/>
        </w:rPr>
        <w:t>τα οποία μάλιστα καταδεικνύουν ότι ακόμα και από τον Αύγουστο του 2014 που καταχώρισ</w:t>
      </w:r>
      <w:r w:rsidR="001D7BDA">
        <w:rPr>
          <w:rFonts w:ascii="Bookman Old Style" w:hAnsi="Bookman Old Style"/>
          <w:sz w:val="28"/>
          <w:szCs w:val="28"/>
          <w:lang w:val="el-GR"/>
        </w:rPr>
        <w:t>ε</w:t>
      </w:r>
      <w:r>
        <w:rPr>
          <w:rFonts w:ascii="Bookman Old Style" w:hAnsi="Bookman Old Style"/>
          <w:sz w:val="28"/>
          <w:szCs w:val="28"/>
          <w:lang w:val="el-GR"/>
        </w:rPr>
        <w:t xml:space="preserve"> την αίτηση στα Αγγλικά Δικαστήρια</w:t>
      </w:r>
      <w:r w:rsidR="001D7BDA">
        <w:rPr>
          <w:rFonts w:ascii="Bookman Old Style" w:hAnsi="Bookman Old Style"/>
          <w:sz w:val="28"/>
          <w:szCs w:val="28"/>
          <w:lang w:val="el-GR"/>
        </w:rPr>
        <w:t>,</w:t>
      </w:r>
      <w:r>
        <w:rPr>
          <w:rFonts w:ascii="Bookman Old Style" w:hAnsi="Bookman Old Style"/>
          <w:sz w:val="28"/>
          <w:szCs w:val="28"/>
          <w:lang w:val="el-GR"/>
        </w:rPr>
        <w:t xml:space="preserve"> ουδέν έπραξ</w:t>
      </w:r>
      <w:r w:rsidR="001D7BDA">
        <w:rPr>
          <w:rFonts w:ascii="Bookman Old Style" w:hAnsi="Bookman Old Style"/>
          <w:sz w:val="28"/>
          <w:szCs w:val="28"/>
          <w:lang w:val="el-GR"/>
        </w:rPr>
        <w:t>ε</w:t>
      </w:r>
      <w:r>
        <w:rPr>
          <w:rFonts w:ascii="Bookman Old Style" w:hAnsi="Bookman Old Style"/>
          <w:sz w:val="28"/>
          <w:szCs w:val="28"/>
          <w:lang w:val="el-GR"/>
        </w:rPr>
        <w:t xml:space="preserve"> μέχρι και </w:t>
      </w:r>
      <w:r>
        <w:rPr>
          <w:rFonts w:ascii="Bookman Old Style" w:hAnsi="Bookman Old Style"/>
          <w:sz w:val="28"/>
          <w:szCs w:val="28"/>
          <w:lang w:val="el-GR"/>
        </w:rPr>
        <w:lastRenderedPageBreak/>
        <w:t>τις 20.5.2015 που καταχώρισ</w:t>
      </w:r>
      <w:r w:rsidR="001D7BDA">
        <w:rPr>
          <w:rFonts w:ascii="Bookman Old Style" w:hAnsi="Bookman Old Style"/>
          <w:sz w:val="28"/>
          <w:szCs w:val="28"/>
          <w:lang w:val="el-GR"/>
        </w:rPr>
        <w:t>ε</w:t>
      </w:r>
      <w:r>
        <w:rPr>
          <w:rFonts w:ascii="Bookman Old Style" w:hAnsi="Bookman Old Style"/>
          <w:sz w:val="28"/>
          <w:szCs w:val="28"/>
          <w:lang w:val="el-GR"/>
        </w:rPr>
        <w:t xml:space="preserve"> την αίτηση παραμερισμού στο πλαίσιο της αγωγής</w:t>
      </w:r>
      <w:r w:rsidR="00340348">
        <w:rPr>
          <w:rFonts w:ascii="Bookman Old Style" w:hAnsi="Bookman Old Style"/>
          <w:sz w:val="28"/>
          <w:szCs w:val="28"/>
          <w:lang w:val="el-GR"/>
        </w:rPr>
        <w:t xml:space="preserve"> χωρίς να παρ</w:t>
      </w:r>
      <w:r w:rsidR="001D7BDA">
        <w:rPr>
          <w:rFonts w:ascii="Bookman Old Style" w:hAnsi="Bookman Old Style"/>
          <w:sz w:val="28"/>
          <w:szCs w:val="28"/>
          <w:lang w:val="el-GR"/>
        </w:rPr>
        <w:t>έχει</w:t>
      </w:r>
      <w:r w:rsidR="00340348">
        <w:rPr>
          <w:rFonts w:ascii="Bookman Old Style" w:hAnsi="Bookman Old Style"/>
          <w:sz w:val="28"/>
          <w:szCs w:val="28"/>
          <w:lang w:val="el-GR"/>
        </w:rPr>
        <w:t xml:space="preserve"> οποιαδήποτε άλλα στοιχεία για τις ενέργειες τ</w:t>
      </w:r>
      <w:r w:rsidR="00BF1D71">
        <w:rPr>
          <w:rFonts w:ascii="Bookman Old Style" w:hAnsi="Bookman Old Style"/>
          <w:sz w:val="28"/>
          <w:szCs w:val="28"/>
          <w:lang w:val="el-GR"/>
        </w:rPr>
        <w:t>η</w:t>
      </w:r>
      <w:r w:rsidR="00340348">
        <w:rPr>
          <w:rFonts w:ascii="Bookman Old Style" w:hAnsi="Bookman Old Style"/>
          <w:sz w:val="28"/>
          <w:szCs w:val="28"/>
          <w:lang w:val="el-GR"/>
        </w:rPr>
        <w:t>ς κατά το εν λόγω διάστημα</w:t>
      </w:r>
      <w:r>
        <w:rPr>
          <w:rFonts w:ascii="Bookman Old Style" w:hAnsi="Bookman Old Style"/>
          <w:sz w:val="28"/>
          <w:szCs w:val="28"/>
          <w:lang w:val="el-GR"/>
        </w:rPr>
        <w:t xml:space="preserve">. </w:t>
      </w:r>
      <w:r w:rsidR="003611D8">
        <w:rPr>
          <w:rFonts w:ascii="Bookman Old Style" w:hAnsi="Bookman Old Style"/>
          <w:sz w:val="28"/>
          <w:szCs w:val="28"/>
          <w:lang w:val="el-GR"/>
        </w:rPr>
        <w:t xml:space="preserve">Με βάση τα πιο πάνω δεδομένα, η εισήγηση της Εφεσείουσας πως η καθυστέρηση στην καταχώριση της αίτησης παραμερισμού οφείλεται στην παράλειψη της Εφεσίβλητης να αναφέρει το πρόσωπο στο οποίο έγινε επίδοση κρίνεται </w:t>
      </w:r>
      <w:r w:rsidR="001D7BDA">
        <w:rPr>
          <w:rFonts w:ascii="Bookman Old Style" w:hAnsi="Bookman Old Style"/>
          <w:sz w:val="28"/>
          <w:szCs w:val="28"/>
          <w:lang w:val="el-GR"/>
        </w:rPr>
        <w:t>α</w:t>
      </w:r>
      <w:r w:rsidR="003611D8">
        <w:rPr>
          <w:rFonts w:ascii="Bookman Old Style" w:hAnsi="Bookman Old Style"/>
          <w:sz w:val="28"/>
          <w:szCs w:val="28"/>
          <w:lang w:val="el-GR"/>
        </w:rPr>
        <w:t xml:space="preserve">βάσιμη, εφόσον αυτό επεσυνέβη τον Μάρτιο του 2014 και έκτοτε μεσολάβησαν αρκετοί μήνες μέχρι την καταχώριση της αίτησης παραμερισμού. </w:t>
      </w:r>
    </w:p>
    <w:p w14:paraId="0E59E715" w14:textId="77777777" w:rsidR="00DE0AB0" w:rsidRDefault="00573E1E" w:rsidP="00D6280F">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Σύμφωνα με τη νομολογία, ο χρόνος που μεσολαβεί είναι σχετικός</w:t>
      </w:r>
      <w:r w:rsidR="00BF1757">
        <w:rPr>
          <w:rFonts w:ascii="Bookman Old Style" w:hAnsi="Bookman Old Style"/>
          <w:sz w:val="28"/>
          <w:szCs w:val="28"/>
          <w:lang w:val="el-GR"/>
        </w:rPr>
        <w:t xml:space="preserve"> και η κάθε υπόθεση κρίνεται ανάλογα με τα δικά της περιστατικά. Εξού και </w:t>
      </w:r>
      <w:r w:rsidR="003B78C1">
        <w:rPr>
          <w:rFonts w:ascii="Bookman Old Style" w:hAnsi="Bookman Old Style"/>
          <w:sz w:val="28"/>
          <w:szCs w:val="28"/>
          <w:lang w:val="el-GR"/>
        </w:rPr>
        <w:t xml:space="preserve">στις υποθέσεις </w:t>
      </w:r>
      <w:r w:rsidR="00BF1757" w:rsidRPr="00BF1757">
        <w:rPr>
          <w:rFonts w:ascii="Bookman Old Style" w:hAnsi="Bookman Old Style"/>
          <w:b/>
          <w:bCs/>
          <w:i/>
          <w:iCs/>
          <w:sz w:val="28"/>
          <w:szCs w:val="28"/>
          <w:lang w:val="el-GR"/>
        </w:rPr>
        <w:t xml:space="preserve">Πίττας </w:t>
      </w:r>
      <w:r w:rsidR="00BF1757" w:rsidRPr="00BF1757">
        <w:rPr>
          <w:rFonts w:ascii="Bookman Old Style" w:hAnsi="Bookman Old Style"/>
          <w:b/>
          <w:bCs/>
          <w:i/>
          <w:iCs/>
          <w:sz w:val="28"/>
          <w:szCs w:val="28"/>
        </w:rPr>
        <w:t>v</w:t>
      </w:r>
      <w:r w:rsidR="00BF1757" w:rsidRPr="00BF1757">
        <w:rPr>
          <w:rFonts w:ascii="Bookman Old Style" w:hAnsi="Bookman Old Style"/>
          <w:b/>
          <w:bCs/>
          <w:i/>
          <w:iCs/>
          <w:sz w:val="28"/>
          <w:szCs w:val="28"/>
          <w:lang w:val="el-GR"/>
        </w:rPr>
        <w:t xml:space="preserve">. </w:t>
      </w:r>
      <w:r w:rsidR="00BF1757" w:rsidRPr="00BF1757">
        <w:rPr>
          <w:rFonts w:ascii="Bookman Old Style" w:hAnsi="Bookman Old Style"/>
          <w:b/>
          <w:bCs/>
          <w:i/>
          <w:iCs/>
          <w:sz w:val="28"/>
          <w:szCs w:val="28"/>
        </w:rPr>
        <w:t>Unigoods</w:t>
      </w:r>
      <w:r w:rsidR="00BF1757" w:rsidRPr="00BF1757">
        <w:rPr>
          <w:rFonts w:ascii="Bookman Old Style" w:hAnsi="Bookman Old Style"/>
          <w:b/>
          <w:bCs/>
          <w:i/>
          <w:iCs/>
          <w:sz w:val="28"/>
          <w:szCs w:val="28"/>
          <w:lang w:val="el-GR"/>
        </w:rPr>
        <w:t xml:space="preserve"> </w:t>
      </w:r>
      <w:r w:rsidR="00BF1757" w:rsidRPr="00BF1757">
        <w:rPr>
          <w:rFonts w:ascii="Bookman Old Style" w:hAnsi="Bookman Old Style"/>
          <w:b/>
          <w:bCs/>
          <w:i/>
          <w:iCs/>
          <w:sz w:val="28"/>
          <w:szCs w:val="28"/>
        </w:rPr>
        <w:t>Trading</w:t>
      </w:r>
      <w:r w:rsidR="00BF1757" w:rsidRPr="00BF1757">
        <w:rPr>
          <w:rFonts w:ascii="Bookman Old Style" w:hAnsi="Bookman Old Style"/>
          <w:b/>
          <w:bCs/>
          <w:i/>
          <w:iCs/>
          <w:sz w:val="28"/>
          <w:szCs w:val="28"/>
          <w:lang w:val="el-GR"/>
        </w:rPr>
        <w:t xml:space="preserve"> </w:t>
      </w:r>
      <w:r w:rsidR="00BF1757" w:rsidRPr="00BF1757">
        <w:rPr>
          <w:rFonts w:ascii="Bookman Old Style" w:hAnsi="Bookman Old Style"/>
          <w:b/>
          <w:bCs/>
          <w:i/>
          <w:iCs/>
          <w:sz w:val="28"/>
          <w:szCs w:val="28"/>
        </w:rPr>
        <w:t>Company</w:t>
      </w:r>
      <w:r w:rsidR="00BF1757" w:rsidRPr="00BF1757">
        <w:rPr>
          <w:rFonts w:ascii="Bookman Old Style" w:hAnsi="Bookman Old Style"/>
          <w:b/>
          <w:bCs/>
          <w:i/>
          <w:iCs/>
          <w:sz w:val="28"/>
          <w:szCs w:val="28"/>
          <w:lang w:val="el-GR"/>
        </w:rPr>
        <w:t xml:space="preserve"> </w:t>
      </w:r>
      <w:r w:rsidR="00BF1757" w:rsidRPr="00BF1757">
        <w:rPr>
          <w:rFonts w:ascii="Bookman Old Style" w:hAnsi="Bookman Old Style"/>
          <w:b/>
          <w:bCs/>
          <w:i/>
          <w:iCs/>
          <w:sz w:val="28"/>
          <w:szCs w:val="28"/>
        </w:rPr>
        <w:t>Ltd</w:t>
      </w:r>
      <w:r w:rsidR="00BF1757" w:rsidRPr="00BF1757">
        <w:rPr>
          <w:rFonts w:ascii="Bookman Old Style" w:hAnsi="Bookman Old Style"/>
          <w:b/>
          <w:bCs/>
          <w:i/>
          <w:iCs/>
          <w:sz w:val="28"/>
          <w:szCs w:val="28"/>
          <w:lang w:val="el-GR"/>
        </w:rPr>
        <w:t xml:space="preserve"> (2004) 1(Γ) Α.Α.Δ. 1761</w:t>
      </w:r>
      <w:r w:rsidR="003B78C1">
        <w:rPr>
          <w:rFonts w:ascii="Bookman Old Style" w:hAnsi="Bookman Old Style"/>
          <w:sz w:val="28"/>
          <w:szCs w:val="28"/>
          <w:lang w:val="el-GR"/>
        </w:rPr>
        <w:t xml:space="preserve">, </w:t>
      </w:r>
      <w:r w:rsidR="003B78C1" w:rsidRPr="003B78C1">
        <w:rPr>
          <w:rFonts w:ascii="Bookman Old Style" w:hAnsi="Bookman Old Style"/>
          <w:b/>
          <w:bCs/>
          <w:i/>
          <w:iCs/>
          <w:sz w:val="28"/>
          <w:szCs w:val="28"/>
        </w:rPr>
        <w:t>Milouca</w:t>
      </w:r>
      <w:r w:rsidR="003B78C1" w:rsidRPr="003B78C1">
        <w:rPr>
          <w:rFonts w:ascii="Bookman Old Style" w:hAnsi="Bookman Old Style"/>
          <w:b/>
          <w:bCs/>
          <w:i/>
          <w:iCs/>
          <w:sz w:val="28"/>
          <w:szCs w:val="28"/>
          <w:lang w:val="el-GR"/>
        </w:rPr>
        <w:t xml:space="preserve"> </w:t>
      </w:r>
      <w:r w:rsidR="003B78C1" w:rsidRPr="003B78C1">
        <w:rPr>
          <w:rFonts w:ascii="Bookman Old Style" w:hAnsi="Bookman Old Style"/>
          <w:b/>
          <w:bCs/>
          <w:i/>
          <w:iCs/>
          <w:sz w:val="28"/>
          <w:szCs w:val="28"/>
        </w:rPr>
        <w:t>Motor</w:t>
      </w:r>
      <w:r w:rsidR="003B78C1" w:rsidRPr="003B78C1">
        <w:rPr>
          <w:rFonts w:ascii="Bookman Old Style" w:hAnsi="Bookman Old Style"/>
          <w:b/>
          <w:bCs/>
          <w:i/>
          <w:iCs/>
          <w:sz w:val="28"/>
          <w:szCs w:val="28"/>
          <w:lang w:val="el-GR"/>
        </w:rPr>
        <w:t xml:space="preserve"> </w:t>
      </w:r>
      <w:r w:rsidR="003B78C1" w:rsidRPr="003B78C1">
        <w:rPr>
          <w:rFonts w:ascii="Bookman Old Style" w:hAnsi="Bookman Old Style"/>
          <w:b/>
          <w:bCs/>
          <w:i/>
          <w:iCs/>
          <w:sz w:val="28"/>
          <w:szCs w:val="28"/>
        </w:rPr>
        <w:t>Trading</w:t>
      </w:r>
      <w:r w:rsidR="003B78C1" w:rsidRPr="003B78C1">
        <w:rPr>
          <w:rFonts w:ascii="Bookman Old Style" w:hAnsi="Bookman Old Style"/>
          <w:b/>
          <w:bCs/>
          <w:i/>
          <w:iCs/>
          <w:sz w:val="28"/>
          <w:szCs w:val="28"/>
          <w:lang w:val="el-GR"/>
        </w:rPr>
        <w:t xml:space="preserve"> </w:t>
      </w:r>
      <w:r w:rsidR="003B78C1" w:rsidRPr="003B78C1">
        <w:rPr>
          <w:rFonts w:ascii="Bookman Old Style" w:hAnsi="Bookman Old Style"/>
          <w:b/>
          <w:bCs/>
          <w:i/>
          <w:iCs/>
          <w:sz w:val="28"/>
          <w:szCs w:val="28"/>
        </w:rPr>
        <w:t>Ltd</w:t>
      </w:r>
      <w:r w:rsidR="003B78C1" w:rsidRPr="003B78C1">
        <w:rPr>
          <w:rFonts w:ascii="Bookman Old Style" w:hAnsi="Bookman Old Style"/>
          <w:b/>
          <w:bCs/>
          <w:i/>
          <w:iCs/>
          <w:sz w:val="28"/>
          <w:szCs w:val="28"/>
          <w:lang w:val="el-GR"/>
        </w:rPr>
        <w:t xml:space="preserve"> </w:t>
      </w:r>
      <w:r w:rsidR="003B78C1" w:rsidRPr="003B78C1">
        <w:rPr>
          <w:rFonts w:ascii="Bookman Old Style" w:hAnsi="Bookman Old Style"/>
          <w:b/>
          <w:bCs/>
          <w:i/>
          <w:iCs/>
          <w:sz w:val="28"/>
          <w:szCs w:val="28"/>
        </w:rPr>
        <w:t>v</w:t>
      </w:r>
      <w:r w:rsidR="003B78C1" w:rsidRPr="003B78C1">
        <w:rPr>
          <w:rFonts w:ascii="Bookman Old Style" w:hAnsi="Bookman Old Style"/>
          <w:b/>
          <w:bCs/>
          <w:i/>
          <w:iCs/>
          <w:sz w:val="28"/>
          <w:szCs w:val="28"/>
          <w:lang w:val="el-GR"/>
        </w:rPr>
        <w:t>. Κούρτη (1997) 1(Β) Α.Α.Δ. 941</w:t>
      </w:r>
      <w:r w:rsidR="003B78C1">
        <w:rPr>
          <w:rFonts w:ascii="Bookman Old Style" w:hAnsi="Bookman Old Style"/>
          <w:sz w:val="28"/>
          <w:szCs w:val="28"/>
          <w:lang w:val="el-GR"/>
        </w:rPr>
        <w:t xml:space="preserve"> και </w:t>
      </w:r>
      <w:r w:rsidR="003B78C1" w:rsidRPr="00BF1757">
        <w:rPr>
          <w:rFonts w:ascii="Bookman Old Style" w:hAnsi="Bookman Old Style"/>
          <w:b/>
          <w:bCs/>
          <w:i/>
          <w:iCs/>
          <w:sz w:val="28"/>
          <w:szCs w:val="28"/>
        </w:rPr>
        <w:t>Mine</w:t>
      </w:r>
      <w:r w:rsidR="003B78C1" w:rsidRPr="00BF1757">
        <w:rPr>
          <w:rFonts w:ascii="Bookman Old Style" w:hAnsi="Bookman Old Style"/>
          <w:b/>
          <w:bCs/>
          <w:i/>
          <w:iCs/>
          <w:sz w:val="28"/>
          <w:szCs w:val="28"/>
          <w:lang w:val="el-GR"/>
        </w:rPr>
        <w:t xml:space="preserve"> &amp; </w:t>
      </w:r>
      <w:r w:rsidR="003B78C1" w:rsidRPr="00BF1757">
        <w:rPr>
          <w:rFonts w:ascii="Bookman Old Style" w:hAnsi="Bookman Old Style"/>
          <w:b/>
          <w:bCs/>
          <w:i/>
          <w:iCs/>
          <w:sz w:val="28"/>
          <w:szCs w:val="28"/>
        </w:rPr>
        <w:t>Quarry</w:t>
      </w:r>
      <w:r w:rsidR="003B78C1" w:rsidRPr="00BF1757">
        <w:rPr>
          <w:rFonts w:ascii="Bookman Old Style" w:hAnsi="Bookman Old Style"/>
          <w:b/>
          <w:bCs/>
          <w:i/>
          <w:iCs/>
          <w:sz w:val="28"/>
          <w:szCs w:val="28"/>
          <w:lang w:val="el-GR"/>
        </w:rPr>
        <w:t xml:space="preserve"> </w:t>
      </w:r>
      <w:r w:rsidR="003B78C1" w:rsidRPr="00BF1757">
        <w:rPr>
          <w:rFonts w:ascii="Bookman Old Style" w:hAnsi="Bookman Old Style"/>
          <w:b/>
          <w:bCs/>
          <w:i/>
          <w:iCs/>
          <w:sz w:val="28"/>
          <w:szCs w:val="28"/>
        </w:rPr>
        <w:t>Services</w:t>
      </w:r>
      <w:r w:rsidR="003B78C1" w:rsidRPr="00BF1757">
        <w:rPr>
          <w:rFonts w:ascii="Bookman Old Style" w:hAnsi="Bookman Old Style"/>
          <w:b/>
          <w:bCs/>
          <w:i/>
          <w:iCs/>
          <w:sz w:val="28"/>
          <w:szCs w:val="28"/>
          <w:lang w:val="el-GR"/>
        </w:rPr>
        <w:t xml:space="preserve"> </w:t>
      </w:r>
      <w:r w:rsidR="003B78C1" w:rsidRPr="00BF1757">
        <w:rPr>
          <w:rFonts w:ascii="Bookman Old Style" w:hAnsi="Bookman Old Style"/>
          <w:b/>
          <w:bCs/>
          <w:i/>
          <w:iCs/>
          <w:sz w:val="28"/>
          <w:szCs w:val="28"/>
        </w:rPr>
        <w:t>Ltd</w:t>
      </w:r>
      <w:r w:rsidR="003B78C1" w:rsidRPr="00BF1757">
        <w:rPr>
          <w:rFonts w:ascii="Bookman Old Style" w:hAnsi="Bookman Old Style"/>
          <w:b/>
          <w:bCs/>
          <w:i/>
          <w:iCs/>
          <w:sz w:val="28"/>
          <w:szCs w:val="28"/>
          <w:lang w:val="el-GR"/>
        </w:rPr>
        <w:t xml:space="preserve"> </w:t>
      </w:r>
      <w:r w:rsidR="003B78C1" w:rsidRPr="00BF1757">
        <w:rPr>
          <w:rFonts w:ascii="Bookman Old Style" w:hAnsi="Bookman Old Style"/>
          <w:b/>
          <w:bCs/>
          <w:i/>
          <w:iCs/>
          <w:sz w:val="28"/>
          <w:szCs w:val="28"/>
        </w:rPr>
        <w:t>v</w:t>
      </w:r>
      <w:r w:rsidR="003B78C1" w:rsidRPr="00BF1757">
        <w:rPr>
          <w:rFonts w:ascii="Bookman Old Style" w:hAnsi="Bookman Old Style"/>
          <w:b/>
          <w:bCs/>
          <w:i/>
          <w:iCs/>
          <w:sz w:val="28"/>
          <w:szCs w:val="28"/>
          <w:lang w:val="el-GR"/>
        </w:rPr>
        <w:t>. Γεωργίου (1993) 1 Α.Α.Δ. 26</w:t>
      </w:r>
      <w:r w:rsidR="003B78C1">
        <w:rPr>
          <w:rFonts w:ascii="Bookman Old Style" w:hAnsi="Bookman Old Style"/>
          <w:sz w:val="28"/>
          <w:szCs w:val="28"/>
          <w:lang w:val="el-GR"/>
        </w:rPr>
        <w:t xml:space="preserve">, </w:t>
      </w:r>
      <w:r w:rsidR="00BF1757">
        <w:rPr>
          <w:rFonts w:ascii="Bookman Old Style" w:hAnsi="Bookman Old Style"/>
          <w:sz w:val="28"/>
          <w:szCs w:val="28"/>
          <w:lang w:val="el-GR"/>
        </w:rPr>
        <w:t>κρίθηκε ότι το διάστημα των τριών μηνών</w:t>
      </w:r>
      <w:r w:rsidR="003B78C1">
        <w:rPr>
          <w:rFonts w:ascii="Bookman Old Style" w:hAnsi="Bookman Old Style"/>
          <w:sz w:val="28"/>
          <w:szCs w:val="28"/>
          <w:lang w:val="el-GR"/>
        </w:rPr>
        <w:t xml:space="preserve">, των εννέα μηνών και του ενός έτους, αντίστοιχα, που διέρρευσε μέχρι την καταχώριση της αίτησης παραμερισμού χωρίς ικανοποιητική δικαιολογία κρίθηκε υπερβολικός, ενώ στην υπόθεση </w:t>
      </w:r>
      <w:r w:rsidR="003B78C1" w:rsidRPr="003B78C1">
        <w:rPr>
          <w:rFonts w:ascii="Bookman Old Style" w:hAnsi="Bookman Old Style"/>
          <w:b/>
          <w:bCs/>
          <w:i/>
          <w:iCs/>
          <w:sz w:val="28"/>
          <w:szCs w:val="28"/>
          <w:lang w:val="el-GR"/>
        </w:rPr>
        <w:t>Φραντζής (ανωτέρω)</w:t>
      </w:r>
      <w:r w:rsidR="003B78C1">
        <w:rPr>
          <w:rFonts w:ascii="Bookman Old Style" w:hAnsi="Bookman Old Style"/>
          <w:sz w:val="28"/>
          <w:szCs w:val="28"/>
          <w:lang w:val="el-GR"/>
        </w:rPr>
        <w:t xml:space="preserve"> επικυρώθηκε η πρωτόδικη απόφαση παραμερισμού παρόλο που είχαν περάσει 18 </w:t>
      </w:r>
      <w:r w:rsidR="003B78C1">
        <w:rPr>
          <w:rFonts w:ascii="Bookman Old Style" w:hAnsi="Bookman Old Style"/>
          <w:sz w:val="28"/>
          <w:szCs w:val="28"/>
          <w:lang w:val="el-GR"/>
        </w:rPr>
        <w:lastRenderedPageBreak/>
        <w:t xml:space="preserve">μήνες λόγω της διαπίστωσης συζητήσιμης υπεράσπισης για πλαστογραφία υπό τον όρο παροχής εγγυήσεων. </w:t>
      </w:r>
    </w:p>
    <w:p w14:paraId="24E1A797" w14:textId="4FB1C2F9" w:rsidR="003B7E71" w:rsidRDefault="003B7E71" w:rsidP="00DE5202">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διαπίστωση του πρωτόδικου Δικαστηρίου ότι η συμπεριφορά της Εφεσείουσας συνιστά περιφρόνηση της δικαστικής διαδικασίας </w:t>
      </w:r>
      <w:r w:rsidR="005B25D2">
        <w:rPr>
          <w:rFonts w:ascii="Bookman Old Style" w:hAnsi="Bookman Old Style"/>
          <w:sz w:val="28"/>
          <w:szCs w:val="28"/>
          <w:lang w:val="el-GR"/>
        </w:rPr>
        <w:t xml:space="preserve">ήταν ικανή </w:t>
      </w:r>
      <w:r>
        <w:rPr>
          <w:rFonts w:ascii="Bookman Old Style" w:hAnsi="Bookman Old Style"/>
          <w:sz w:val="28"/>
          <w:szCs w:val="28"/>
          <w:lang w:val="el-GR"/>
        </w:rPr>
        <w:t xml:space="preserve">από μόνη της </w:t>
      </w:r>
      <w:r w:rsidR="005B25D2">
        <w:rPr>
          <w:rFonts w:ascii="Bookman Old Style" w:hAnsi="Bookman Old Style"/>
          <w:sz w:val="28"/>
          <w:szCs w:val="28"/>
          <w:lang w:val="el-GR"/>
        </w:rPr>
        <w:t xml:space="preserve">να οδηγήσει </w:t>
      </w:r>
      <w:r>
        <w:rPr>
          <w:rFonts w:ascii="Bookman Old Style" w:hAnsi="Bookman Old Style"/>
          <w:sz w:val="28"/>
          <w:szCs w:val="28"/>
          <w:lang w:val="el-GR"/>
        </w:rPr>
        <w:t xml:space="preserve">στην απόρριψη της αίτησης της για τον παραμερισμό της εκδοθείσας εναντίον της απόφασης.   </w:t>
      </w:r>
    </w:p>
    <w:p w14:paraId="519C6705" w14:textId="7309198E" w:rsidR="00B87D5E" w:rsidRDefault="001A49E8" w:rsidP="00DF4289">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Ενόψει των όσων αναφέρονται ανωτέρω, </w:t>
      </w:r>
      <w:r w:rsidR="00DF4289" w:rsidRPr="00DF4289">
        <w:rPr>
          <w:rFonts w:ascii="Bookman Old Style" w:hAnsi="Bookman Old Style"/>
          <w:sz w:val="28"/>
          <w:szCs w:val="28"/>
          <w:lang w:val="el-GR"/>
        </w:rPr>
        <w:t>ο τρίτος λόγος έφεσης απορρίπτεται.</w:t>
      </w:r>
      <w:r w:rsidR="00DF4289">
        <w:rPr>
          <w:rFonts w:ascii="Bookman Old Style" w:hAnsi="Bookman Old Style"/>
          <w:sz w:val="28"/>
          <w:szCs w:val="28"/>
          <w:lang w:val="el-GR"/>
        </w:rPr>
        <w:t xml:space="preserve"> </w:t>
      </w:r>
      <w:r w:rsidR="00DF4289">
        <w:rPr>
          <w:rFonts w:ascii="Bookman Old Style" w:hAnsi="Bookman Old Style"/>
          <w:sz w:val="28"/>
          <w:szCs w:val="28"/>
          <w:lang w:val="en-GB"/>
        </w:rPr>
        <w:t>H</w:t>
      </w:r>
      <w:r w:rsidR="007D078B">
        <w:rPr>
          <w:rFonts w:ascii="Bookman Old Style" w:hAnsi="Bookman Old Style"/>
          <w:sz w:val="28"/>
          <w:szCs w:val="28"/>
          <w:lang w:val="el-GR"/>
        </w:rPr>
        <w:t xml:space="preserve"> απόρριψη </w:t>
      </w:r>
      <w:r w:rsidR="007C3A5D">
        <w:rPr>
          <w:rFonts w:ascii="Bookman Old Style" w:hAnsi="Bookman Old Style"/>
          <w:sz w:val="28"/>
          <w:szCs w:val="28"/>
          <w:lang w:val="el-GR"/>
        </w:rPr>
        <w:t xml:space="preserve">του τρίτου λόγου </w:t>
      </w:r>
      <w:r w:rsidR="007D078B">
        <w:rPr>
          <w:rFonts w:ascii="Bookman Old Style" w:hAnsi="Bookman Old Style"/>
          <w:sz w:val="28"/>
          <w:szCs w:val="28"/>
          <w:lang w:val="el-GR"/>
        </w:rPr>
        <w:t>έφεσης</w:t>
      </w:r>
      <w:r w:rsidR="007C3A5D">
        <w:rPr>
          <w:rFonts w:ascii="Bookman Old Style" w:hAnsi="Bookman Old Style"/>
          <w:sz w:val="28"/>
          <w:szCs w:val="28"/>
          <w:lang w:val="el-GR"/>
        </w:rPr>
        <w:t xml:space="preserve"> καθιστά αχρείαστη την εξέταση των υπόλοιπων λόγων έφεσης</w:t>
      </w:r>
      <w:r w:rsidR="007D078B">
        <w:rPr>
          <w:rFonts w:ascii="Bookman Old Style" w:hAnsi="Bookman Old Style"/>
          <w:sz w:val="28"/>
          <w:szCs w:val="28"/>
          <w:lang w:val="el-GR"/>
        </w:rPr>
        <w:t>.</w:t>
      </w:r>
    </w:p>
    <w:p w14:paraId="3B559EBA" w14:textId="77777777" w:rsidR="00A553D3" w:rsidRDefault="00A553D3" w:rsidP="00AE433B">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Έφεση απορρίπτεται. </w:t>
      </w:r>
    </w:p>
    <w:p w14:paraId="620336FF" w14:textId="593439D3" w:rsidR="00923ADD" w:rsidRDefault="007D078B" w:rsidP="00AE433B">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Τα έξοδα της Έφεσης </w:t>
      </w:r>
      <w:r w:rsidR="00451D56" w:rsidRPr="00F56D83">
        <w:rPr>
          <w:rFonts w:ascii="Bookman Old Style" w:hAnsi="Bookman Old Style"/>
          <w:sz w:val="28"/>
          <w:szCs w:val="28"/>
          <w:lang w:val="el-GR"/>
        </w:rPr>
        <w:t>€2.500</w:t>
      </w:r>
      <w:r w:rsidR="00A553D3" w:rsidRPr="00F56D83">
        <w:rPr>
          <w:rFonts w:ascii="Bookman Old Style" w:hAnsi="Bookman Old Style"/>
          <w:sz w:val="28"/>
          <w:szCs w:val="28"/>
          <w:lang w:val="el-GR"/>
        </w:rPr>
        <w:t>,</w:t>
      </w:r>
      <w:r w:rsidR="00A553D3">
        <w:rPr>
          <w:rFonts w:ascii="Bookman Old Style" w:hAnsi="Bookman Old Style"/>
          <w:sz w:val="28"/>
          <w:szCs w:val="28"/>
          <w:lang w:val="el-GR"/>
        </w:rPr>
        <w:t xml:space="preserve"> πλέον ΦΠΑ αν υπάρχει,</w:t>
      </w:r>
      <w:r w:rsidR="00451D56">
        <w:rPr>
          <w:rFonts w:ascii="Bookman Old Style" w:hAnsi="Bookman Old Style"/>
          <w:sz w:val="28"/>
          <w:szCs w:val="28"/>
          <w:lang w:val="el-GR"/>
        </w:rPr>
        <w:t xml:space="preserve"> επιδικάζονται υπέρ της Εφεσίβλητης και εναντίον της Εφεσείουσας. </w:t>
      </w:r>
    </w:p>
    <w:p w14:paraId="1D77ECDC" w14:textId="77777777" w:rsidR="00AE433B" w:rsidRPr="00B061AB" w:rsidRDefault="00AE433B" w:rsidP="00AE433B">
      <w:pPr>
        <w:spacing w:line="480" w:lineRule="auto"/>
        <w:ind w:firstLine="567"/>
        <w:jc w:val="both"/>
        <w:rPr>
          <w:rFonts w:ascii="Bookman Old Style" w:hAnsi="Bookman Old Style"/>
          <w:sz w:val="28"/>
          <w:szCs w:val="28"/>
          <w:lang w:val="el-GR"/>
        </w:rPr>
      </w:pPr>
    </w:p>
    <w:p w14:paraId="19F66BCA" w14:textId="77777777" w:rsidR="00DE5202" w:rsidRPr="00DE5202" w:rsidRDefault="00DE5202" w:rsidP="00D6280F">
      <w:pPr>
        <w:spacing w:after="0" w:line="240" w:lineRule="auto"/>
        <w:ind w:left="5040" w:firstLine="720"/>
        <w:rPr>
          <w:rFonts w:ascii="Bookman Old Style" w:hAnsi="Bookman Old Style"/>
          <w:sz w:val="28"/>
          <w:szCs w:val="28"/>
          <w:lang w:val="el-GR"/>
        </w:rPr>
      </w:pPr>
      <w:r w:rsidRPr="00DE5202">
        <w:rPr>
          <w:rFonts w:ascii="Bookman Old Style" w:hAnsi="Bookman Old Style"/>
          <w:sz w:val="28"/>
          <w:szCs w:val="28"/>
          <w:lang w:val="el-GR"/>
        </w:rPr>
        <w:t>Χ. ΜΑΛΑΧΤΟΣ, Δ.</w:t>
      </w:r>
    </w:p>
    <w:p w14:paraId="1D91EE0A" w14:textId="77777777" w:rsidR="00DE5202" w:rsidRPr="00DE5202" w:rsidRDefault="00DE5202" w:rsidP="00D6280F">
      <w:pPr>
        <w:spacing w:after="0" w:line="240" w:lineRule="auto"/>
        <w:rPr>
          <w:rFonts w:ascii="Bookman Old Style" w:hAnsi="Bookman Old Style"/>
          <w:sz w:val="28"/>
          <w:szCs w:val="28"/>
          <w:lang w:val="el-GR"/>
        </w:rPr>
      </w:pPr>
    </w:p>
    <w:p w14:paraId="0265BE51" w14:textId="77777777" w:rsidR="00DE5202" w:rsidRPr="00DE5202" w:rsidRDefault="00DE5202" w:rsidP="00D6280F">
      <w:pPr>
        <w:spacing w:after="0" w:line="240" w:lineRule="auto"/>
        <w:rPr>
          <w:rFonts w:ascii="Bookman Old Style" w:hAnsi="Bookman Old Style"/>
          <w:sz w:val="28"/>
          <w:szCs w:val="28"/>
          <w:lang w:val="el-GR"/>
        </w:rPr>
      </w:pPr>
      <w:r w:rsidRPr="00DE5202">
        <w:rPr>
          <w:rFonts w:ascii="Bookman Old Style" w:hAnsi="Bookman Old Style"/>
          <w:sz w:val="28"/>
          <w:szCs w:val="28"/>
          <w:lang w:val="el-GR"/>
        </w:rPr>
        <w:tab/>
      </w:r>
    </w:p>
    <w:p w14:paraId="1442E43F" w14:textId="77777777" w:rsidR="00DE5202" w:rsidRPr="00DE5202" w:rsidRDefault="00DE5202" w:rsidP="00D6280F">
      <w:pPr>
        <w:spacing w:after="0" w:line="240" w:lineRule="auto"/>
        <w:rPr>
          <w:rFonts w:ascii="Bookman Old Style" w:hAnsi="Bookman Old Style"/>
          <w:sz w:val="28"/>
          <w:szCs w:val="28"/>
          <w:lang w:val="el-GR"/>
        </w:rPr>
      </w:pPr>
      <w:r w:rsidRPr="00DE5202">
        <w:rPr>
          <w:rFonts w:ascii="Bookman Old Style" w:hAnsi="Bookman Old Style"/>
          <w:sz w:val="28"/>
          <w:szCs w:val="28"/>
          <w:lang w:val="el-GR"/>
        </w:rPr>
        <w:tab/>
      </w:r>
      <w:r w:rsidRPr="00DE5202">
        <w:rPr>
          <w:rFonts w:ascii="Bookman Old Style" w:hAnsi="Bookman Old Style"/>
          <w:sz w:val="28"/>
          <w:szCs w:val="28"/>
          <w:lang w:val="el-GR"/>
        </w:rPr>
        <w:tab/>
      </w:r>
      <w:r w:rsidRPr="00DE5202">
        <w:rPr>
          <w:rFonts w:ascii="Bookman Old Style" w:hAnsi="Bookman Old Style"/>
          <w:sz w:val="28"/>
          <w:szCs w:val="28"/>
          <w:lang w:val="el-GR"/>
        </w:rPr>
        <w:tab/>
      </w:r>
      <w:r w:rsidRPr="00DE5202">
        <w:rPr>
          <w:rFonts w:ascii="Bookman Old Style" w:hAnsi="Bookman Old Style"/>
          <w:sz w:val="28"/>
          <w:szCs w:val="28"/>
          <w:lang w:val="el-GR"/>
        </w:rPr>
        <w:tab/>
      </w:r>
      <w:r w:rsidRPr="00DE5202">
        <w:rPr>
          <w:rFonts w:ascii="Bookman Old Style" w:hAnsi="Bookman Old Style"/>
          <w:sz w:val="28"/>
          <w:szCs w:val="28"/>
          <w:lang w:val="el-GR"/>
        </w:rPr>
        <w:tab/>
      </w:r>
      <w:r w:rsidRPr="00DE5202">
        <w:rPr>
          <w:rFonts w:ascii="Bookman Old Style" w:hAnsi="Bookman Old Style"/>
          <w:sz w:val="28"/>
          <w:szCs w:val="28"/>
          <w:lang w:val="el-GR"/>
        </w:rPr>
        <w:tab/>
      </w:r>
      <w:r w:rsidRPr="00DE5202">
        <w:rPr>
          <w:rFonts w:ascii="Bookman Old Style" w:hAnsi="Bookman Old Style"/>
          <w:sz w:val="28"/>
          <w:szCs w:val="28"/>
          <w:lang w:val="el-GR"/>
        </w:rPr>
        <w:tab/>
      </w:r>
      <w:r w:rsidRPr="00DE5202">
        <w:rPr>
          <w:rFonts w:ascii="Bookman Old Style" w:hAnsi="Bookman Old Style"/>
          <w:sz w:val="28"/>
          <w:szCs w:val="28"/>
          <w:lang w:val="el-GR"/>
        </w:rPr>
        <w:tab/>
        <w:t>Ι. ΙΩΑΝΝΙΔΗΣ, Δ.</w:t>
      </w:r>
    </w:p>
    <w:p w14:paraId="653B0EEB" w14:textId="77777777" w:rsidR="00DE5202" w:rsidRPr="00DE5202" w:rsidRDefault="00DE5202" w:rsidP="00D6280F">
      <w:pPr>
        <w:spacing w:after="0" w:line="240" w:lineRule="auto"/>
        <w:rPr>
          <w:rFonts w:ascii="Bookman Old Style" w:hAnsi="Bookman Old Style"/>
          <w:sz w:val="28"/>
          <w:szCs w:val="28"/>
          <w:lang w:val="el-GR"/>
        </w:rPr>
      </w:pPr>
    </w:p>
    <w:p w14:paraId="25B82989" w14:textId="77777777" w:rsidR="00DE5202" w:rsidRPr="00DE5202" w:rsidRDefault="00DE5202" w:rsidP="00D6280F">
      <w:pPr>
        <w:spacing w:after="0" w:line="240" w:lineRule="auto"/>
        <w:rPr>
          <w:rFonts w:ascii="Bookman Old Style" w:hAnsi="Bookman Old Style"/>
          <w:sz w:val="28"/>
          <w:szCs w:val="28"/>
          <w:lang w:val="el-GR"/>
        </w:rPr>
      </w:pPr>
      <w:r w:rsidRPr="00DE5202">
        <w:rPr>
          <w:rFonts w:ascii="Bookman Old Style" w:hAnsi="Bookman Old Style"/>
          <w:sz w:val="28"/>
          <w:szCs w:val="28"/>
          <w:lang w:val="el-GR"/>
        </w:rPr>
        <w:tab/>
      </w:r>
    </w:p>
    <w:p w14:paraId="251E3048" w14:textId="77777777" w:rsidR="00DE5202" w:rsidRDefault="00DE5202" w:rsidP="00D6280F">
      <w:pPr>
        <w:spacing w:line="240" w:lineRule="auto"/>
        <w:rPr>
          <w:rFonts w:ascii="Bookman Old Style" w:hAnsi="Bookman Old Style"/>
          <w:sz w:val="28"/>
          <w:szCs w:val="28"/>
        </w:rPr>
      </w:pPr>
      <w:r w:rsidRPr="00DE5202">
        <w:rPr>
          <w:rFonts w:ascii="Bookman Old Style" w:hAnsi="Bookman Old Style"/>
          <w:sz w:val="28"/>
          <w:szCs w:val="28"/>
          <w:lang w:val="el-GR"/>
        </w:rPr>
        <w:tab/>
      </w:r>
      <w:r w:rsidRPr="00DE5202">
        <w:rPr>
          <w:rFonts w:ascii="Bookman Old Style" w:hAnsi="Bookman Old Style"/>
          <w:sz w:val="28"/>
          <w:szCs w:val="28"/>
          <w:lang w:val="el-GR"/>
        </w:rPr>
        <w:tab/>
      </w:r>
      <w:r w:rsidRPr="00DE5202">
        <w:rPr>
          <w:rFonts w:ascii="Bookman Old Style" w:hAnsi="Bookman Old Style"/>
          <w:sz w:val="28"/>
          <w:szCs w:val="28"/>
          <w:lang w:val="el-GR"/>
        </w:rPr>
        <w:tab/>
      </w:r>
      <w:r w:rsidRPr="00DE5202">
        <w:rPr>
          <w:rFonts w:ascii="Bookman Old Style" w:hAnsi="Bookman Old Style"/>
          <w:sz w:val="28"/>
          <w:szCs w:val="28"/>
          <w:lang w:val="el-GR"/>
        </w:rPr>
        <w:tab/>
      </w:r>
      <w:r w:rsidRPr="00DE5202">
        <w:rPr>
          <w:rFonts w:ascii="Bookman Old Style" w:hAnsi="Bookman Old Style"/>
          <w:sz w:val="28"/>
          <w:szCs w:val="28"/>
          <w:lang w:val="el-GR"/>
        </w:rPr>
        <w:tab/>
      </w:r>
      <w:r w:rsidRPr="00DE5202">
        <w:rPr>
          <w:rFonts w:ascii="Bookman Old Style" w:hAnsi="Bookman Old Style"/>
          <w:sz w:val="28"/>
          <w:szCs w:val="28"/>
          <w:lang w:val="el-GR"/>
        </w:rPr>
        <w:tab/>
      </w:r>
      <w:r w:rsidRPr="00DE5202">
        <w:rPr>
          <w:rFonts w:ascii="Bookman Old Style" w:hAnsi="Bookman Old Style"/>
          <w:sz w:val="28"/>
          <w:szCs w:val="28"/>
          <w:lang w:val="el-GR"/>
        </w:rPr>
        <w:tab/>
      </w:r>
      <w:r w:rsidRPr="00DE5202">
        <w:rPr>
          <w:rFonts w:ascii="Bookman Old Style" w:hAnsi="Bookman Old Style"/>
          <w:sz w:val="28"/>
          <w:szCs w:val="28"/>
          <w:lang w:val="el-GR"/>
        </w:rPr>
        <w:tab/>
      </w:r>
      <w:r>
        <w:rPr>
          <w:rFonts w:ascii="Bookman Old Style" w:hAnsi="Bookman Old Style"/>
          <w:sz w:val="28"/>
          <w:szCs w:val="28"/>
        </w:rPr>
        <w:t>Ε. ΕΦΡΑΙΜ, Δ.</w:t>
      </w:r>
    </w:p>
    <w:p w14:paraId="122F06E3" w14:textId="77777777" w:rsidR="00DE5202" w:rsidRDefault="00DE5202" w:rsidP="00DE5202">
      <w:pPr>
        <w:spacing w:line="276" w:lineRule="auto"/>
        <w:rPr>
          <w:rFonts w:ascii="Bookman Old Style" w:hAnsi="Bookman Old Style"/>
          <w:sz w:val="28"/>
          <w:szCs w:val="28"/>
        </w:rPr>
      </w:pPr>
    </w:p>
    <w:p w14:paraId="459B9482" w14:textId="71D17AAF" w:rsidR="001161F1" w:rsidRPr="00B061AB" w:rsidRDefault="00DE5202" w:rsidP="00D6280F">
      <w:pPr>
        <w:spacing w:line="276" w:lineRule="auto"/>
        <w:rPr>
          <w:rFonts w:ascii="Bookman Old Style" w:hAnsi="Bookman Old Style"/>
          <w:sz w:val="28"/>
          <w:szCs w:val="28"/>
          <w:lang w:val="el-GR"/>
        </w:rPr>
      </w:pPr>
      <w:r>
        <w:rPr>
          <w:rFonts w:ascii="Bookman Old Style" w:hAnsi="Bookman Old Style"/>
          <w:sz w:val="28"/>
          <w:szCs w:val="28"/>
          <w:lang w:val="el-GR"/>
        </w:rPr>
        <w:t>/κβπ</w:t>
      </w:r>
    </w:p>
    <w:sectPr w:rsidR="001161F1" w:rsidRPr="00B061AB" w:rsidSect="00DE5202">
      <w:headerReference w:type="default" r:id="rId7"/>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8D6B" w14:textId="77777777" w:rsidR="007A1775" w:rsidRDefault="007A1775" w:rsidP="00877D1C">
      <w:pPr>
        <w:spacing w:after="0" w:line="240" w:lineRule="auto"/>
      </w:pPr>
      <w:r>
        <w:separator/>
      </w:r>
    </w:p>
  </w:endnote>
  <w:endnote w:type="continuationSeparator" w:id="0">
    <w:p w14:paraId="07B9ED0F" w14:textId="77777777" w:rsidR="007A1775" w:rsidRDefault="007A1775" w:rsidP="0087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3B58" w14:textId="77777777" w:rsidR="007A1775" w:rsidRDefault="007A1775" w:rsidP="00877D1C">
      <w:pPr>
        <w:spacing w:after="0" w:line="240" w:lineRule="auto"/>
      </w:pPr>
      <w:r>
        <w:separator/>
      </w:r>
    </w:p>
  </w:footnote>
  <w:footnote w:type="continuationSeparator" w:id="0">
    <w:p w14:paraId="0AD6A7C7" w14:textId="77777777" w:rsidR="007A1775" w:rsidRDefault="007A1775" w:rsidP="00877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395336"/>
      <w:docPartObj>
        <w:docPartGallery w:val="Page Numbers (Top of Page)"/>
        <w:docPartUnique/>
      </w:docPartObj>
    </w:sdtPr>
    <w:sdtEndPr>
      <w:rPr>
        <w:noProof/>
      </w:rPr>
    </w:sdtEndPr>
    <w:sdtContent>
      <w:p w14:paraId="029A2735" w14:textId="4877EC02" w:rsidR="00877D1C" w:rsidRDefault="00877D1C">
        <w:pPr>
          <w:pStyle w:val="Header"/>
          <w:jc w:val="center"/>
        </w:pPr>
        <w:r>
          <w:fldChar w:fldCharType="begin"/>
        </w:r>
        <w:r>
          <w:instrText xml:space="preserve"> PAGE   \* MERGEFORMAT </w:instrText>
        </w:r>
        <w:r>
          <w:fldChar w:fldCharType="separate"/>
        </w:r>
        <w:r w:rsidR="000F0870">
          <w:rPr>
            <w:noProof/>
          </w:rPr>
          <w:t>15</w:t>
        </w:r>
        <w:r>
          <w:rPr>
            <w:noProof/>
          </w:rPr>
          <w:fldChar w:fldCharType="end"/>
        </w:r>
      </w:p>
    </w:sdtContent>
  </w:sdt>
  <w:p w14:paraId="671AF5F0" w14:textId="77777777" w:rsidR="00877D1C" w:rsidRDefault="00877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FCA1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C041EF"/>
    <w:multiLevelType w:val="hybridMultilevel"/>
    <w:tmpl w:val="53D0C3D0"/>
    <w:lvl w:ilvl="0" w:tplc="D604F32E">
      <w:start w:val="1"/>
      <w:numFmt w:val="lowerRoman"/>
      <w:lvlText w:val="(%1.)"/>
      <w:lvlJc w:val="left"/>
      <w:pPr>
        <w:ind w:left="153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20307"/>
    <w:multiLevelType w:val="hybridMultilevel"/>
    <w:tmpl w:val="18025BD0"/>
    <w:lvl w:ilvl="0" w:tplc="40A0CC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3225640">
    <w:abstractNumId w:val="1"/>
  </w:num>
  <w:num w:numId="2" w16cid:durableId="819154099">
    <w:abstractNumId w:val="2"/>
  </w:num>
  <w:num w:numId="3" w16cid:durableId="929387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82"/>
    <w:rsid w:val="000173F6"/>
    <w:rsid w:val="00020290"/>
    <w:rsid w:val="00037215"/>
    <w:rsid w:val="000547BF"/>
    <w:rsid w:val="00077183"/>
    <w:rsid w:val="00077E48"/>
    <w:rsid w:val="00096E68"/>
    <w:rsid w:val="000B2F17"/>
    <w:rsid w:val="000D6BEF"/>
    <w:rsid w:val="000F0870"/>
    <w:rsid w:val="000F72E0"/>
    <w:rsid w:val="00103F1E"/>
    <w:rsid w:val="0011064F"/>
    <w:rsid w:val="001161F1"/>
    <w:rsid w:val="0012654A"/>
    <w:rsid w:val="0017527D"/>
    <w:rsid w:val="00177195"/>
    <w:rsid w:val="001A0266"/>
    <w:rsid w:val="001A144F"/>
    <w:rsid w:val="001A1C12"/>
    <w:rsid w:val="001A49E8"/>
    <w:rsid w:val="001B7A12"/>
    <w:rsid w:val="001D7BDA"/>
    <w:rsid w:val="00207344"/>
    <w:rsid w:val="00211FF3"/>
    <w:rsid w:val="002522BC"/>
    <w:rsid w:val="002544C7"/>
    <w:rsid w:val="002672B5"/>
    <w:rsid w:val="00281CB8"/>
    <w:rsid w:val="002979BC"/>
    <w:rsid w:val="002B442B"/>
    <w:rsid w:val="002D6777"/>
    <w:rsid w:val="002E07B5"/>
    <w:rsid w:val="002F2F37"/>
    <w:rsid w:val="00311179"/>
    <w:rsid w:val="003149F0"/>
    <w:rsid w:val="003372D0"/>
    <w:rsid w:val="00340348"/>
    <w:rsid w:val="00342280"/>
    <w:rsid w:val="003611D8"/>
    <w:rsid w:val="003835EC"/>
    <w:rsid w:val="0038600B"/>
    <w:rsid w:val="00393E84"/>
    <w:rsid w:val="003B091F"/>
    <w:rsid w:val="003B78C1"/>
    <w:rsid w:val="003B7E71"/>
    <w:rsid w:val="003E7103"/>
    <w:rsid w:val="003F662B"/>
    <w:rsid w:val="00411BEA"/>
    <w:rsid w:val="00414398"/>
    <w:rsid w:val="004427AA"/>
    <w:rsid w:val="00451D56"/>
    <w:rsid w:val="00473C66"/>
    <w:rsid w:val="00487496"/>
    <w:rsid w:val="004A4439"/>
    <w:rsid w:val="004F1C86"/>
    <w:rsid w:val="00501C0E"/>
    <w:rsid w:val="00502019"/>
    <w:rsid w:val="00516B7E"/>
    <w:rsid w:val="00527784"/>
    <w:rsid w:val="00560A65"/>
    <w:rsid w:val="00573E1E"/>
    <w:rsid w:val="00575930"/>
    <w:rsid w:val="005875C2"/>
    <w:rsid w:val="00595E6F"/>
    <w:rsid w:val="005B03D2"/>
    <w:rsid w:val="005B1D41"/>
    <w:rsid w:val="005B25D2"/>
    <w:rsid w:val="005B7C1F"/>
    <w:rsid w:val="005E5AA8"/>
    <w:rsid w:val="00603A2A"/>
    <w:rsid w:val="00615B46"/>
    <w:rsid w:val="006362B7"/>
    <w:rsid w:val="00636982"/>
    <w:rsid w:val="00646549"/>
    <w:rsid w:val="00650881"/>
    <w:rsid w:val="006654AA"/>
    <w:rsid w:val="006674CB"/>
    <w:rsid w:val="00677F77"/>
    <w:rsid w:val="00680A2A"/>
    <w:rsid w:val="006D1F00"/>
    <w:rsid w:val="0071309A"/>
    <w:rsid w:val="00736E1E"/>
    <w:rsid w:val="00743303"/>
    <w:rsid w:val="007476B0"/>
    <w:rsid w:val="007619D9"/>
    <w:rsid w:val="00765A00"/>
    <w:rsid w:val="007778B6"/>
    <w:rsid w:val="00777F71"/>
    <w:rsid w:val="0078136A"/>
    <w:rsid w:val="007979CF"/>
    <w:rsid w:val="007A1775"/>
    <w:rsid w:val="007A666F"/>
    <w:rsid w:val="007C3A5D"/>
    <w:rsid w:val="007D078B"/>
    <w:rsid w:val="007E253D"/>
    <w:rsid w:val="007F7A78"/>
    <w:rsid w:val="00802BE6"/>
    <w:rsid w:val="00813A94"/>
    <w:rsid w:val="00850A27"/>
    <w:rsid w:val="008641D1"/>
    <w:rsid w:val="008658C8"/>
    <w:rsid w:val="008746E5"/>
    <w:rsid w:val="0087608F"/>
    <w:rsid w:val="00877D1C"/>
    <w:rsid w:val="00881EF4"/>
    <w:rsid w:val="00885AF4"/>
    <w:rsid w:val="00890585"/>
    <w:rsid w:val="008A20DC"/>
    <w:rsid w:val="008E7BAA"/>
    <w:rsid w:val="008F3771"/>
    <w:rsid w:val="00907708"/>
    <w:rsid w:val="00914494"/>
    <w:rsid w:val="00923ADD"/>
    <w:rsid w:val="00926D7F"/>
    <w:rsid w:val="009511EA"/>
    <w:rsid w:val="00981E12"/>
    <w:rsid w:val="009A5439"/>
    <w:rsid w:val="009B3BEC"/>
    <w:rsid w:val="009B4C5E"/>
    <w:rsid w:val="009C2120"/>
    <w:rsid w:val="009C72F2"/>
    <w:rsid w:val="009F0A21"/>
    <w:rsid w:val="009F1D82"/>
    <w:rsid w:val="009F47CC"/>
    <w:rsid w:val="009F5EC8"/>
    <w:rsid w:val="009F69EC"/>
    <w:rsid w:val="009F7E28"/>
    <w:rsid w:val="00A01E0F"/>
    <w:rsid w:val="00A02C48"/>
    <w:rsid w:val="00A13A35"/>
    <w:rsid w:val="00A239B1"/>
    <w:rsid w:val="00A24767"/>
    <w:rsid w:val="00A516DE"/>
    <w:rsid w:val="00A52F1E"/>
    <w:rsid w:val="00A553D3"/>
    <w:rsid w:val="00A605CE"/>
    <w:rsid w:val="00A60F29"/>
    <w:rsid w:val="00A669EC"/>
    <w:rsid w:val="00A66CA6"/>
    <w:rsid w:val="00A67130"/>
    <w:rsid w:val="00AA6356"/>
    <w:rsid w:val="00AB51B5"/>
    <w:rsid w:val="00AD518D"/>
    <w:rsid w:val="00AE433B"/>
    <w:rsid w:val="00B061AB"/>
    <w:rsid w:val="00B30039"/>
    <w:rsid w:val="00B33948"/>
    <w:rsid w:val="00B35CED"/>
    <w:rsid w:val="00B5405C"/>
    <w:rsid w:val="00B662FA"/>
    <w:rsid w:val="00B73251"/>
    <w:rsid w:val="00B82353"/>
    <w:rsid w:val="00B87D5E"/>
    <w:rsid w:val="00B91CCA"/>
    <w:rsid w:val="00BA2A2B"/>
    <w:rsid w:val="00BB32F4"/>
    <w:rsid w:val="00BC09A3"/>
    <w:rsid w:val="00BD0D9F"/>
    <w:rsid w:val="00BD0F88"/>
    <w:rsid w:val="00BF1757"/>
    <w:rsid w:val="00BF1D71"/>
    <w:rsid w:val="00BF4064"/>
    <w:rsid w:val="00C23E4D"/>
    <w:rsid w:val="00C310CD"/>
    <w:rsid w:val="00C47C57"/>
    <w:rsid w:val="00C639CC"/>
    <w:rsid w:val="00C85EFC"/>
    <w:rsid w:val="00C87DE6"/>
    <w:rsid w:val="00C94679"/>
    <w:rsid w:val="00C9601B"/>
    <w:rsid w:val="00CE1427"/>
    <w:rsid w:val="00CE30BA"/>
    <w:rsid w:val="00D076B7"/>
    <w:rsid w:val="00D20125"/>
    <w:rsid w:val="00D24289"/>
    <w:rsid w:val="00D50318"/>
    <w:rsid w:val="00D5599C"/>
    <w:rsid w:val="00D60F79"/>
    <w:rsid w:val="00D6280F"/>
    <w:rsid w:val="00D868ED"/>
    <w:rsid w:val="00DB5F56"/>
    <w:rsid w:val="00DE0AB0"/>
    <w:rsid w:val="00DE4967"/>
    <w:rsid w:val="00DE5202"/>
    <w:rsid w:val="00DF4289"/>
    <w:rsid w:val="00E1508C"/>
    <w:rsid w:val="00E21CCA"/>
    <w:rsid w:val="00E33F9D"/>
    <w:rsid w:val="00E60F68"/>
    <w:rsid w:val="00E742F1"/>
    <w:rsid w:val="00E93768"/>
    <w:rsid w:val="00EB5C5E"/>
    <w:rsid w:val="00EB7E44"/>
    <w:rsid w:val="00EC358D"/>
    <w:rsid w:val="00EE0225"/>
    <w:rsid w:val="00F14733"/>
    <w:rsid w:val="00F325A9"/>
    <w:rsid w:val="00F47158"/>
    <w:rsid w:val="00F56D83"/>
    <w:rsid w:val="00F72902"/>
    <w:rsid w:val="00F94C51"/>
    <w:rsid w:val="00FA29EC"/>
    <w:rsid w:val="00FB02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6488"/>
  <w15:chartTrackingRefBased/>
  <w15:docId w15:val="{ACBBA930-52CB-4B5E-87F7-76029B04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D1C"/>
  </w:style>
  <w:style w:type="paragraph" w:styleId="Footer">
    <w:name w:val="footer"/>
    <w:basedOn w:val="Normal"/>
    <w:link w:val="FooterChar"/>
    <w:uiPriority w:val="99"/>
    <w:unhideWhenUsed/>
    <w:rsid w:val="00877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D1C"/>
  </w:style>
  <w:style w:type="paragraph" w:styleId="ListParagraph">
    <w:name w:val="List Paragraph"/>
    <w:basedOn w:val="Normal"/>
    <w:uiPriority w:val="34"/>
    <w:qFormat/>
    <w:rsid w:val="007A666F"/>
    <w:pPr>
      <w:ind w:left="720"/>
      <w:contextualSpacing/>
    </w:pPr>
  </w:style>
  <w:style w:type="paragraph" w:styleId="ListBullet">
    <w:name w:val="List Bullet"/>
    <w:basedOn w:val="Normal"/>
    <w:uiPriority w:val="99"/>
    <w:unhideWhenUsed/>
    <w:rsid w:val="0011064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Efrem</dc:creator>
  <cp:keywords/>
  <dc:description/>
  <cp:lastModifiedBy>Marilia Hadjiprodromou</cp:lastModifiedBy>
  <cp:revision>5</cp:revision>
  <cp:lastPrinted>2023-11-07T06:53:00Z</cp:lastPrinted>
  <dcterms:created xsi:type="dcterms:W3CDTF">2023-11-10T06:04:00Z</dcterms:created>
  <dcterms:modified xsi:type="dcterms:W3CDTF">2023-11-10T06:10:00Z</dcterms:modified>
</cp:coreProperties>
</file>